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rFonts w:eastAsia="Times New Roman" w:cs="Calibri" w:cstheme="minorHAnsi"/>
          <w:lang w:eastAsia="el-GR"/>
        </w:rPr>
      </w:pPr>
      <w:r>
        <w:rPr/>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15pt;height:43pt;mso-wrap-distance-right:0pt" filled="t" fillcolor="#FFFFFF" o:ole="">
            <v:imagedata r:id="rId3" o:title=""/>
          </v:shape>
          <o:OLEObject Type="Embed" ProgID="PBrush" ShapeID="ole_rId2" DrawAspect="Content" ObjectID="_816798569" r:id="rId2"/>
        </w:object>
      </w:r>
    </w:p>
    <w:tbl>
      <w:tblPr>
        <w:tblpPr w:bottomFromText="200" w:horzAnchor="margin" w:leftFromText="180" w:rightFromText="180" w:tblpX="0" w:tblpY="46" w:topFromText="0" w:vertAnchor="text"/>
        <w:tblW w:w="1032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0320"/>
      </w:tblGrid>
      <w:tr>
        <w:trPr>
          <w:trHeight w:val="289"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
                <w:bCs/>
              </w:rPr>
            </w:pPr>
            <w:r>
              <w:rPr>
                <w:rFonts w:eastAsia="Times New Roman" w:cs="Calibri" w:cstheme="minorHAnsi"/>
                <w:b/>
                <w:bCs/>
              </w:rPr>
              <w:t>ΕΛΛΗΝΙΚΗ ΔΗΜΟΚΡΑΤΙΑ</w:t>
            </w:r>
          </w:p>
        </w:tc>
      </w:tr>
      <w:tr>
        <w:trPr>
          <w:trHeight w:val="145"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
                <w:bCs/>
                <w:lang w:val="en-US"/>
              </w:rPr>
            </w:pPr>
            <w:r>
              <w:rPr>
                <w:rFonts w:eastAsia="Times New Roman" w:cs="Calibri" w:cstheme="minorHAnsi"/>
                <w:b/>
                <w:bCs/>
              </w:rPr>
              <w:t>ΥΠΟΥΡΓΕΙΟ ΥΓΕΙΑΣ</w:t>
            </w:r>
          </w:p>
        </w:tc>
      </w:tr>
      <w:tr>
        <w:trPr>
          <w:trHeight w:val="289"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
                <w:bCs/>
              </w:rPr>
            </w:pPr>
            <w:r>
              <w:rPr>
                <w:rFonts w:eastAsia="Times New Roman" w:cs="Calibri" w:cstheme="minorHAnsi"/>
                <w:b/>
                <w:bCs/>
              </w:rPr>
              <w:t>4</w:t>
            </w:r>
            <w:r>
              <w:rPr>
                <w:rFonts w:eastAsia="Times New Roman" w:cs="Calibri" w:cstheme="minorHAnsi"/>
                <w:b/>
                <w:bCs/>
                <w:vertAlign w:val="superscript"/>
              </w:rPr>
              <w:t>η</w:t>
            </w:r>
            <w:r>
              <w:rPr>
                <w:rFonts w:eastAsia="Times New Roman" w:cs="Calibri" w:cstheme="minorHAnsi"/>
                <w:b/>
                <w:bCs/>
              </w:rPr>
              <w:t xml:space="preserve"> Υ. Πε. ΜΑΚΕΔΟΝΙΑΣ ΚΑΙ ΘΡΑΚΗΣ</w:t>
            </w:r>
          </w:p>
        </w:tc>
      </w:tr>
      <w:tr>
        <w:trPr>
          <w:trHeight w:val="291" w:hRule="atLeast"/>
        </w:trPr>
        <w:tc>
          <w:tcPr>
            <w:tcW w:w="10320" w:type="dxa"/>
            <w:tcBorders/>
          </w:tcPr>
          <w:p>
            <w:pPr>
              <w:pStyle w:val="Normal"/>
              <w:keepNext w:val="true"/>
              <w:widowControl w:val="false"/>
              <w:numPr>
                <w:ilvl w:val="0"/>
                <w:numId w:val="0"/>
              </w:numPr>
              <w:snapToGrid w:val="false"/>
              <w:spacing w:lineRule="auto" w:line="240" w:before="0" w:after="0"/>
              <w:ind w:left="0" w:hanging="0"/>
              <w:outlineLvl w:val="1"/>
              <w:rPr>
                <w:rFonts w:eastAsia="Times New Roman" w:cs="Calibri" w:cstheme="minorHAnsi"/>
                <w:b/>
                <w:b/>
                <w:bCs/>
              </w:rPr>
            </w:pPr>
            <w:r>
              <w:rPr>
                <w:rFonts w:eastAsia="Times New Roman" w:cs="Calibri" w:cstheme="minorHAnsi"/>
                <w:b/>
                <w:bCs/>
              </w:rPr>
              <w:t>ΓΕΝΙΚΟ ΝΟΣΟΚΟΜΕΙΟ ΣΕΡΡΩΝ</w:t>
            </w:r>
          </w:p>
        </w:tc>
      </w:tr>
    </w:tbl>
    <w:p>
      <w:pPr>
        <w:pStyle w:val="Normal"/>
        <w:spacing w:lineRule="auto" w:line="240" w:before="0" w:after="0"/>
        <w:rPr>
          <w:rFonts w:eastAsia="Times New Roman" w:cs="Calibri" w:cstheme="minorHAnsi"/>
          <w:b/>
          <w:b/>
          <w:lang w:eastAsia="el-GR"/>
        </w:rPr>
      </w:pPr>
      <w:r>
        <w:rPr>
          <w:rFonts w:eastAsia="Times New Roman" w:cs="Calibri" w:cstheme="minorHAnsi"/>
          <w:b/>
          <w:lang w:eastAsia="el-GR"/>
        </w:rPr>
        <w:t xml:space="preserve">Υποδιεύθυνση  Οικονομικού      </w:t>
        <w:tab/>
        <w:tab/>
        <w:tab/>
        <w:tab/>
        <w:tab/>
        <w:tab/>
        <w:t>Σέρρες</w:t>
      </w:r>
      <w:r>
        <w:rPr>
          <w:rFonts w:eastAsia="Times New Roman" w:cs="Calibri" w:cstheme="minorHAnsi"/>
          <w:b/>
          <w:shd w:fill="auto" w:val="clear"/>
          <w:lang w:val="el-GR" w:eastAsia="el-GR"/>
        </w:rPr>
        <w:t xml:space="preserve">  </w:t>
      </w:r>
      <w:r>
        <w:rPr>
          <w:rFonts w:eastAsia="Times New Roman" w:cs="Calibri" w:cstheme="minorHAnsi"/>
          <w:b/>
          <w:shd w:fill="auto" w:val="clear"/>
          <w:lang w:val="en-US" w:eastAsia="el-GR"/>
        </w:rPr>
        <w:t>08-02-2023</w:t>
      </w:r>
    </w:p>
    <w:p>
      <w:pPr>
        <w:pStyle w:val="Normal"/>
        <w:spacing w:lineRule="auto" w:line="240"/>
        <w:rPr>
          <w:rFonts w:eastAsia="Times New Roman" w:cs="Calibri" w:cstheme="minorHAnsi"/>
          <w:b/>
          <w:b/>
          <w:lang w:eastAsia="el-GR"/>
        </w:rPr>
      </w:pPr>
      <w:r>
        <w:rPr>
          <w:rFonts w:eastAsia="Times New Roman" w:cs="Calibri" w:cstheme="minorHAnsi"/>
          <w:b/>
          <w:lang w:val="en-US" w:eastAsia="el-GR"/>
        </w:rPr>
        <w:t>T</w:t>
      </w:r>
      <w:r>
        <w:rPr>
          <w:rFonts w:eastAsia="Times New Roman" w:cs="Calibri" w:cstheme="minorHAnsi"/>
          <w:b/>
          <w:lang w:eastAsia="el-GR"/>
        </w:rPr>
        <w:t xml:space="preserve">μήμα:     Προμηθειών </w:t>
        <w:tab/>
        <w:tab/>
        <w:tab/>
        <w:tab/>
        <w:tab/>
        <w:tab/>
        <w:tab/>
        <w:tab/>
        <w:t>Αρ. Πρωτ.</w:t>
      </w:r>
      <w:r>
        <w:rPr>
          <w:rFonts w:eastAsia="Times New Roman" w:cs="Calibri" w:cstheme="minorHAnsi"/>
          <w:b/>
          <w:shd w:fill="auto" w:val="clear"/>
          <w:lang w:eastAsia="el-GR"/>
        </w:rPr>
        <w:t>: 2478</w:t>
      </w:r>
    </w:p>
    <w:tbl>
      <w:tblPr>
        <w:tblStyle w:val="a4"/>
        <w:tblW w:w="450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26"/>
        <w:gridCol w:w="2976"/>
      </w:tblGrid>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Ταχ. Δ/νση:</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2</w:t>
            </w:r>
            <w:r>
              <w:rPr>
                <w:rFonts w:eastAsia="Times New Roman" w:cs="Calibri" w:cstheme="minorHAnsi"/>
                <w:kern w:val="0"/>
                <w:sz w:val="22"/>
                <w:szCs w:val="22"/>
                <w:vertAlign w:val="superscript"/>
                <w:lang w:val="el-GR" w:eastAsia="el-GR" w:bidi="ar-SA"/>
              </w:rPr>
              <w:t>ο</w:t>
            </w:r>
            <w:r>
              <w:rPr>
                <w:rFonts w:eastAsia="Times New Roman" w:cs="Calibri" w:cstheme="minorHAnsi"/>
                <w:kern w:val="0"/>
                <w:sz w:val="22"/>
                <w:szCs w:val="22"/>
                <w:lang w:val="el-GR" w:eastAsia="el-GR" w:bidi="ar-SA"/>
              </w:rPr>
              <w:t>χλμ. Ε.Ο Σερρών-Δράμας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Ταχ. Κώδικας:</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62100</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Πληροφορίες:</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Α. ΠΑΠΑΔΟΠΟΥΛΟΣ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Τηλέφωνο:</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23213 – 51290</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n-US" w:eastAsia="el-GR" w:bidi="ar-SA"/>
              </w:rPr>
              <w:t>Site:</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n-US" w:eastAsia="el-GR" w:bidi="ar-SA"/>
              </w:rPr>
              <w:t>www.hospser.gr</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de-DE" w:eastAsia="el-GR" w:bidi="ar-SA"/>
              </w:rPr>
              <w:t>E-mail</w:t>
            </w:r>
            <w:r>
              <w:rPr>
                <w:rFonts w:eastAsia="Times New Roman" w:cs="Calibri" w:cstheme="minorHAnsi"/>
                <w:kern w:val="0"/>
                <w:sz w:val="22"/>
                <w:szCs w:val="22"/>
                <w:lang w:val="el-GR" w:eastAsia="el-GR" w:bidi="ar-SA"/>
              </w:rPr>
              <w:t>:</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lang w:val="en-US"/>
              </w:rPr>
            </w:pPr>
            <w:r>
              <w:rPr>
                <w:rFonts w:eastAsia="Times New Roman" w:cs="Calibri" w:cstheme="minorHAnsi"/>
                <w:color w:val="0070C0"/>
                <w:kern w:val="0"/>
                <w:sz w:val="22"/>
                <w:szCs w:val="22"/>
                <w:lang w:val="en-US" w:eastAsia="el-GR" w:bidi="ar-SA"/>
              </w:rPr>
              <w:t>anastasiop</w:t>
            </w:r>
            <w:hyperlink r:id="rId4">
              <w:r>
                <w:rPr>
                  <w:rFonts w:eastAsia="Times New Roman" w:cs="Calibri" w:cstheme="minorHAnsi"/>
                  <w:color w:val="0070C0"/>
                  <w:kern w:val="0"/>
                  <w:sz w:val="22"/>
                  <w:szCs w:val="22"/>
                  <w:lang w:val="en-US" w:eastAsia="el-GR" w:bidi="ar-SA"/>
                </w:rPr>
                <w:t>@hospser.gr</w:t>
              </w:r>
            </w:hyperlink>
          </w:p>
          <w:p>
            <w:pPr>
              <w:pStyle w:val="Normal"/>
              <w:widowControl w:val="false"/>
              <w:suppressAutoHyphens w:val="true"/>
              <w:spacing w:lineRule="auto" w:line="240" w:before="0" w:after="0"/>
              <w:jc w:val="left"/>
              <w:rPr>
                <w:rFonts w:cs="Calibri" w:cstheme="minorHAnsi"/>
                <w:lang w:val="en-US"/>
              </w:rPr>
            </w:pPr>
            <w:r>
              <w:rPr>
                <w:rFonts w:cs="Calibri" w:cstheme="minorHAnsi"/>
                <w:sz w:val="22"/>
                <w:lang w:val="en-US"/>
              </w:rPr>
            </w:r>
          </w:p>
        </w:tc>
      </w:tr>
    </w:tbl>
    <w:p>
      <w:pPr>
        <w:pStyle w:val="Normal"/>
        <w:spacing w:lineRule="auto" w:line="240"/>
        <w:jc w:val="both"/>
        <w:rPr>
          <w:b/>
          <w:b/>
          <w:bCs/>
        </w:rPr>
      </w:pPr>
      <w:r>
        <w:rPr>
          <w:rFonts w:cs="Calibri" w:cstheme="minorHAnsi"/>
          <w:b/>
          <w:bCs/>
          <w:sz w:val="28"/>
          <w:szCs w:val="28"/>
        </w:rPr>
        <w:t>Π</w:t>
      </w:r>
      <w:r>
        <w:rPr>
          <w:rFonts w:cs="Calibri" w:cstheme="minorHAnsi"/>
          <w:b/>
          <w:bCs/>
          <w:sz w:val="24"/>
          <w:szCs w:val="24"/>
        </w:rPr>
        <w:t xml:space="preserve">ΡΟΣΚΛΗΣΗ </w:t>
      </w:r>
      <w:r>
        <w:rPr>
          <w:rFonts w:cs="Calibri" w:cstheme="minorHAnsi"/>
          <w:b/>
          <w:bCs/>
          <w:sz w:val="28"/>
          <w:szCs w:val="28"/>
        </w:rPr>
        <w:t>Ε</w:t>
      </w:r>
      <w:r>
        <w:rPr>
          <w:rFonts w:cs="Calibri" w:cstheme="minorHAnsi"/>
          <w:b/>
          <w:bCs/>
          <w:sz w:val="24"/>
          <w:szCs w:val="24"/>
        </w:rPr>
        <w:t xml:space="preserve">ΚΔΗΛΩΣΗΣ </w:t>
      </w:r>
      <w:r>
        <w:rPr>
          <w:rFonts w:cs="Calibri" w:cstheme="minorHAnsi"/>
          <w:b/>
          <w:bCs/>
          <w:sz w:val="28"/>
          <w:szCs w:val="28"/>
        </w:rPr>
        <w:t>Ε</w:t>
      </w:r>
      <w:r>
        <w:rPr>
          <w:rFonts w:cs="Calibri" w:cstheme="minorHAnsi"/>
          <w:b/>
          <w:bCs/>
          <w:sz w:val="24"/>
          <w:szCs w:val="24"/>
        </w:rPr>
        <w:t xml:space="preserve">ΝΔΙΑΦΕΡΟΝΤΟΣ - </w:t>
      </w:r>
      <w:r>
        <w:rPr>
          <w:rFonts w:cs="Calibri" w:cstheme="minorHAnsi"/>
          <w:b/>
          <w:bCs/>
          <w:sz w:val="28"/>
          <w:szCs w:val="28"/>
        </w:rPr>
        <w:t>Υ</w:t>
      </w:r>
      <w:r>
        <w:rPr>
          <w:rFonts w:cs="Calibri" w:cstheme="minorHAnsi"/>
          <w:b/>
          <w:bCs/>
          <w:sz w:val="24"/>
          <w:szCs w:val="24"/>
        </w:rPr>
        <w:t xml:space="preserve">ΠΟΒΟΛΗΣ </w:t>
      </w:r>
      <w:r>
        <w:rPr>
          <w:rFonts w:cs="Calibri" w:cstheme="minorHAnsi"/>
          <w:b/>
          <w:bCs/>
          <w:sz w:val="28"/>
          <w:szCs w:val="28"/>
        </w:rPr>
        <w:t>Π</w:t>
      </w:r>
      <w:r>
        <w:rPr>
          <w:rFonts w:cs="Calibri" w:cstheme="minorHAnsi"/>
          <w:b/>
          <w:bCs/>
          <w:sz w:val="24"/>
          <w:szCs w:val="24"/>
        </w:rPr>
        <w:t xml:space="preserve">ΡΟΣΦΟΡΩΝ </w:t>
      </w:r>
      <w:r>
        <w:rPr>
          <w:rFonts w:cs="Calibri" w:cstheme="minorHAnsi"/>
          <w:b/>
          <w:bCs/>
        </w:rPr>
        <w:t>για την ανάδειξη αναδό</w:t>
      </w:r>
      <w:r>
        <w:rPr>
          <w:rFonts w:cs="Calibri" w:cstheme="minorHAnsi"/>
          <w:b/>
          <w:bCs/>
          <w:lang w:val="el-GR"/>
        </w:rPr>
        <w:t>χων</w:t>
      </w:r>
      <w:r>
        <w:rPr>
          <w:rFonts w:cs="Calibri" w:cstheme="minorHAnsi"/>
          <w:b/>
          <w:bCs/>
        </w:rPr>
        <w:t xml:space="preserve"> για την προμήθεια ειδών : </w:t>
      </w:r>
      <w:r>
        <w:rPr>
          <w:rFonts w:cs="Calibri" w:cstheme="minorHAnsi"/>
          <w:b/>
          <w:bCs/>
          <w:color w:val="000000"/>
          <w:sz w:val="22"/>
          <w:szCs w:val="22"/>
        </w:rPr>
        <w:t xml:space="preserve">Τμήμα </w:t>
      </w:r>
      <w:r>
        <w:rPr>
          <w:rFonts w:cs="Calibri" w:cstheme="minorHAnsi"/>
          <w:b/>
          <w:bCs/>
        </w:rPr>
        <w:t xml:space="preserve">1) </w:t>
      </w:r>
      <w:r>
        <w:rPr>
          <w:rFonts w:cs="Calibri" w:cstheme="minorHAnsi"/>
          <w:b/>
          <w:bCs/>
          <w:i w:val="false"/>
          <w:strike w:val="false"/>
          <w:dstrike w:val="false"/>
          <w:outline w:val="false"/>
          <w:shadow w:val="false"/>
          <w:sz w:val="24"/>
          <w:szCs w:val="24"/>
          <w:u w:val="single"/>
          <w:em w:val="none"/>
        </w:rPr>
        <w:t xml:space="preserve">ΑΝΑΛΥΤΗΣ ΟΥΡΩΝ ΕΦΗΜΕΡΕΙΟ </w:t>
      </w:r>
      <w:r>
        <w:rPr>
          <w:rFonts w:cs="Calibri"/>
          <w:b/>
          <w:bCs/>
          <w:i w:val="false"/>
          <w:strike w:val="false"/>
          <w:dstrike w:val="false"/>
          <w:outline w:val="false"/>
          <w:shadow w:val="false"/>
          <w:sz w:val="20"/>
          <w:szCs w:val="20"/>
          <w:u w:val="single"/>
          <w:em w:val="none"/>
        </w:rPr>
        <w:t xml:space="preserve">(Αντιδραστήρια, calibrators, controls με </w:t>
      </w:r>
      <w:r>
        <w:rPr>
          <w:rFonts w:eastAsia="Times New Roman" w:cs="Calibri"/>
          <w:b/>
          <w:bCs/>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bCs/>
          <w:i w:val="false"/>
          <w:strike w:val="false"/>
          <w:dstrike w:val="false"/>
          <w:outline w:val="false"/>
          <w:shadow w:val="false"/>
          <w:sz w:val="20"/>
          <w:szCs w:val="20"/>
          <w:u w:val="single"/>
          <w:em w:val="none"/>
        </w:rPr>
        <w:t xml:space="preserve">συνοδό εξοπλισμό), </w:t>
      </w:r>
      <w:r>
        <w:rPr>
          <w:rFonts w:cs="Calibri" w:cstheme="minorHAnsi"/>
          <w:b/>
          <w:bCs/>
          <w:i w:val="false"/>
          <w:strike w:val="false"/>
          <w:dstrike w:val="false"/>
          <w:outline w:val="false"/>
          <w:shadow w:val="false"/>
          <w:color w:val="000000"/>
          <w:sz w:val="22"/>
          <w:szCs w:val="22"/>
          <w:u w:val="single"/>
          <w:em w:val="none"/>
        </w:rPr>
        <w:t xml:space="preserve">Τμήμα </w:t>
      </w:r>
      <w:r>
        <w:rPr>
          <w:rFonts w:cs="Calibri"/>
          <w:b/>
          <w:bCs/>
          <w:i w:val="false"/>
          <w:strike w:val="false"/>
          <w:dstrike w:val="false"/>
          <w:outline w:val="false"/>
          <w:shadow w:val="false"/>
          <w:sz w:val="20"/>
          <w:szCs w:val="20"/>
          <w:u w:val="single"/>
          <w:em w:val="none"/>
        </w:rPr>
        <w:t>2</w:t>
      </w:r>
      <w:r>
        <w:rPr>
          <w:rFonts w:cs="Calibri" w:cstheme="minorHAnsi"/>
          <w:b/>
          <w:bCs/>
          <w:i w:val="false"/>
          <w:strike w:val="false"/>
          <w:dstrike w:val="false"/>
          <w:outline w:val="false"/>
          <w:shadow w:val="false"/>
          <w:sz w:val="24"/>
          <w:szCs w:val="24"/>
          <w:u w:val="single"/>
          <w:em w:val="none"/>
        </w:rPr>
        <w:t>) ΑΝΟΣΟΕΝΖΥΜΙΚΟΣ ΑΝΑΛΥΤΗΣ ΤΕΧΝΙΚΗ ELISA</w:t>
      </w:r>
      <w:r>
        <w:rPr>
          <w:rFonts w:cs="Calibri"/>
          <w:b/>
          <w:bCs/>
          <w:i w:val="false"/>
          <w:strike w:val="false"/>
          <w:dstrike w:val="false"/>
          <w:outline w:val="false"/>
          <w:shadow w:val="false"/>
          <w:sz w:val="20"/>
          <w:szCs w:val="20"/>
          <w:u w:val="single"/>
          <w:em w:val="none"/>
        </w:rPr>
        <w:t xml:space="preserve">(Αντιδραστήρια, calibrators, controls με </w:t>
      </w:r>
      <w:r>
        <w:rPr>
          <w:rFonts w:eastAsia="Times New Roman" w:cs="Calibri"/>
          <w:b/>
          <w:bCs/>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bCs/>
          <w:i w:val="false"/>
          <w:strike w:val="false"/>
          <w:dstrike w:val="false"/>
          <w:outline w:val="false"/>
          <w:shadow w:val="false"/>
          <w:sz w:val="20"/>
          <w:szCs w:val="20"/>
          <w:u w:val="single"/>
          <w:em w:val="none"/>
        </w:rPr>
        <w:t xml:space="preserve">συνοδό εξοπλισμό) και </w:t>
      </w:r>
      <w:r>
        <w:rPr>
          <w:rFonts w:cs="Calibri" w:cstheme="minorHAnsi"/>
          <w:b/>
          <w:bCs/>
          <w:i w:val="false"/>
          <w:strike w:val="false"/>
          <w:dstrike w:val="false"/>
          <w:outline w:val="false"/>
          <w:shadow w:val="false"/>
          <w:color w:val="000000"/>
          <w:sz w:val="22"/>
          <w:szCs w:val="22"/>
          <w:u w:val="single"/>
          <w:em w:val="none"/>
        </w:rPr>
        <w:t>Τμήμα</w:t>
      </w:r>
      <w:r>
        <w:rPr>
          <w:rFonts w:cs="Calibri" w:cstheme="minorHAnsi"/>
          <w:b/>
          <w:bCs/>
          <w:i w:val="false"/>
          <w:strike w:val="false"/>
          <w:dstrike w:val="false"/>
          <w:outline w:val="false"/>
          <w:shadow w:val="false"/>
          <w:sz w:val="24"/>
          <w:szCs w:val="24"/>
          <w:u w:val="single"/>
          <w:em w:val="none"/>
        </w:rPr>
        <w:t xml:space="preserve"> 3)</w:t>
      </w:r>
      <w:r>
        <w:rPr>
          <w:rFonts w:cs="Calibri" w:cstheme="minorHAnsi"/>
          <w:b/>
          <w:bCs/>
          <w:i w:val="false"/>
          <w:strike w:val="false"/>
          <w:dstrike w:val="false"/>
          <w:outline w:val="false"/>
          <w:shadow w:val="false"/>
          <w:sz w:val="24"/>
          <w:szCs w:val="24"/>
          <w:u w:val="single"/>
          <w:shd w:fill="auto" w:val="clear"/>
          <w:em w:val="none"/>
          <w:lang w:val="el-GR" w:eastAsia="en-US"/>
        </w:rPr>
        <w:t xml:space="preserve"> Σ</w:t>
      </w:r>
      <w:r>
        <w:rPr>
          <w:rFonts w:cs="Calibri" w:cstheme="minorHAnsi"/>
          <w:b/>
          <w:bCs/>
          <w:i w:val="false"/>
          <w:strike w:val="false"/>
          <w:dstrike w:val="false"/>
          <w:outline w:val="false"/>
          <w:shadow w:val="false"/>
          <w:sz w:val="24"/>
          <w:szCs w:val="24"/>
          <w:u w:val="single"/>
          <w:shd w:fill="auto" w:val="clear"/>
          <w:em w:val="none"/>
        </w:rPr>
        <w:t>ΥΣΤΗΜΑ ΗΛΕΚΤΡΟΦΟΡΗΣΗΣ-ΑΝΟΣΟΚΑΘΗΛΩΣΗΣ</w:t>
      </w:r>
      <w:r>
        <w:rPr>
          <w:rFonts w:cs="Calibri"/>
          <w:b/>
          <w:bCs/>
          <w:i w:val="false"/>
          <w:strike w:val="false"/>
          <w:dstrike w:val="false"/>
          <w:outline w:val="false"/>
          <w:shadow w:val="false"/>
          <w:sz w:val="20"/>
          <w:szCs w:val="20"/>
          <w:u w:val="single"/>
          <w:shd w:fill="auto" w:val="clear"/>
          <w:em w:val="none"/>
        </w:rPr>
        <w:t xml:space="preserve">(Αντιδραστήρια, calibrators, controls με </w:t>
      </w:r>
      <w:r>
        <w:rPr>
          <w:rFonts w:eastAsia="Times New Roman" w:cs="Calibri"/>
          <w:b/>
          <w:bCs/>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bCs/>
          <w:i w:val="false"/>
          <w:strike w:val="false"/>
          <w:dstrike w:val="false"/>
          <w:outline w:val="false"/>
          <w:shadow w:val="false"/>
          <w:sz w:val="20"/>
          <w:szCs w:val="20"/>
          <w:u w:val="single"/>
          <w:shd w:fill="auto" w:val="clear"/>
          <w:em w:val="none"/>
        </w:rPr>
        <w:t>συνοδό εξοπλισμό)</w:t>
      </w:r>
      <w:r>
        <w:rPr>
          <w:rFonts w:cs="Calibri" w:cstheme="minorHAnsi"/>
          <w:b/>
          <w:bCs/>
          <w:i w:val="false"/>
          <w:strike w:val="false"/>
          <w:dstrike w:val="false"/>
          <w:outline w:val="false"/>
          <w:shadow w:val="false"/>
          <w:sz w:val="24"/>
          <w:szCs w:val="24"/>
          <w:u w:val="single"/>
          <w:shd w:fill="auto" w:val="clear"/>
          <w:em w:val="none"/>
        </w:rPr>
        <w:t xml:space="preserve"> </w:t>
      </w:r>
    </w:p>
    <w:p>
      <w:pPr>
        <w:pStyle w:val="Normal"/>
        <w:spacing w:lineRule="auto" w:line="240"/>
        <w:jc w:val="both"/>
        <w:rPr>
          <w:rFonts w:ascii="Calibri" w:hAnsi="Calibri" w:cs="Calibri" w:cstheme="minorHAnsi"/>
          <w:b/>
          <w:b/>
          <w:bCs/>
          <w:i w:val="false"/>
          <w:i w:val="false"/>
          <w:strike w:val="false"/>
          <w:dstrike w:val="false"/>
          <w:outline w:val="false"/>
          <w:shadow w:val="false"/>
          <w:sz w:val="24"/>
          <w:szCs w:val="24"/>
          <w:u w:val="single"/>
          <w:shd w:fill="auto" w:val="clear"/>
          <w:em w:val="none"/>
        </w:rPr>
      </w:pPr>
      <w:r>
        <w:rPr>
          <w:rFonts w:cs="Calibri" w:cstheme="minorHAnsi"/>
          <w:b/>
          <w:bCs/>
          <w:i w:val="false"/>
          <w:strike w:val="false"/>
          <w:dstrike w:val="false"/>
          <w:outline w:val="false"/>
          <w:shadow w:val="false"/>
          <w:sz w:val="24"/>
          <w:szCs w:val="24"/>
          <w:u w:val="single"/>
          <w:shd w:fill="auto" w:val="clear"/>
          <w:em w:val="none"/>
        </w:rPr>
      </w:r>
    </w:p>
    <w:tbl>
      <w:tblPr>
        <w:tblW w:w="10403" w:type="dxa"/>
        <w:jc w:val="left"/>
        <w:tblInd w:w="52" w:type="dxa"/>
        <w:tblLayout w:type="fixed"/>
        <w:tblCellMar>
          <w:top w:w="0" w:type="dxa"/>
          <w:left w:w="108" w:type="dxa"/>
          <w:bottom w:w="0" w:type="dxa"/>
          <w:right w:w="108" w:type="dxa"/>
        </w:tblCellMar>
        <w:tblLook w:firstRow="1" w:noVBand="0" w:lastRow="1" w:firstColumn="1" w:lastColumn="1" w:noHBand="0" w:val="01e0"/>
      </w:tblPr>
      <w:tblGrid>
        <w:gridCol w:w="3888"/>
        <w:gridCol w:w="6514"/>
      </w:tblGrid>
      <w:tr>
        <w:trPr>
          <w:trHeight w:val="278"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right="-108" w:hanging="0"/>
              <w:rPr>
                <w:rFonts w:eastAsia="Calibri" w:cs="Calibri"/>
                <w:b/>
                <w:b/>
              </w:rPr>
            </w:pPr>
            <w:r>
              <w:rPr>
                <w:rFonts w:eastAsia="Calibri" w:cs="Calibri" w:cstheme="minorHAnsi"/>
                <w:b/>
              </w:rPr>
              <w:t>Αναθέτουσα Αρχή</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Calibri" w:cs="Calibri"/>
              </w:rPr>
            </w:pPr>
            <w:r>
              <w:rPr>
                <w:rFonts w:eastAsia="Calibri" w:cs="Calibri" w:cstheme="minorHAnsi"/>
              </w:rPr>
              <w:t>Γενικό Νοσοκομείο Σερρών</w:t>
            </w:r>
          </w:p>
        </w:tc>
      </w:tr>
      <w:tr>
        <w:trPr>
          <w:trHeight w:val="288"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hanging="0"/>
              <w:rPr>
                <w:rFonts w:eastAsia="Times New Roman" w:cs="Calibri"/>
                <w:b/>
                <w:b/>
              </w:rPr>
            </w:pPr>
            <w:r>
              <w:rPr>
                <w:rFonts w:eastAsia="Times New Roman" w:cs="Calibri" w:cstheme="minorHAnsi"/>
                <w:b/>
                <w:lang w:eastAsia="el-GR"/>
              </w:rPr>
              <w:t xml:space="preserve"> </w:t>
            </w:r>
            <w:r>
              <w:rPr>
                <w:rFonts w:eastAsia="Times New Roman" w:cs="Calibri" w:cstheme="minorHAnsi"/>
                <w:b/>
                <w:lang w:eastAsia="el-GR"/>
              </w:rPr>
              <w:t>Είδος Διαγωνιστικής διαδικασίας</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cs="Calibri"/>
              </w:rPr>
            </w:pPr>
            <w:r>
              <w:rPr>
                <w:rFonts w:cs="Calibri" w:cstheme="minorHAnsi"/>
                <w:bCs/>
              </w:rPr>
              <w:t>Απευθείας Ανάθεση</w:t>
            </w:r>
            <w:r>
              <w:rPr>
                <w:rFonts w:eastAsia="Calibri" w:cs="Calibri" w:cstheme="minorHAnsi"/>
                <w:bCs/>
              </w:rPr>
              <w:t xml:space="preserve"> (αρθ.118 ν.4412 /2016)</w:t>
            </w:r>
          </w:p>
        </w:tc>
      </w:tr>
      <w:tr>
        <w:trPr>
          <w:trHeight w:val="149"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hanging="0"/>
              <w:rPr>
                <w:rFonts w:eastAsia="Times New Roman" w:cs="Calibri"/>
                <w:b/>
                <w:b/>
                <w:lang w:eastAsia="el-GR"/>
              </w:rPr>
            </w:pPr>
            <w:r>
              <w:rPr>
                <w:rFonts w:eastAsia="Times New Roman" w:cs="Calibri" w:cstheme="minorHAnsi"/>
                <w:b/>
                <w:lang w:eastAsia="el-GR"/>
              </w:rPr>
              <w:t xml:space="preserve"> </w:t>
            </w:r>
            <w:r>
              <w:rPr>
                <w:rFonts w:eastAsia="Times New Roman" w:cs="Calibri" w:cstheme="minorHAnsi"/>
                <w:b/>
                <w:lang w:eastAsia="el-GR"/>
              </w:rPr>
              <w:t xml:space="preserve">Αντικείμενο </w:t>
            </w:r>
            <w:r>
              <w:rPr>
                <w:rFonts w:eastAsia="Times New Roman" w:cs="Calibri" w:cstheme="minorHAnsi"/>
                <w:b/>
                <w:bCs/>
                <w:lang w:eastAsia="el-GR"/>
              </w:rPr>
              <w:t>προμήθειας</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jc w:val="both"/>
              <w:rPr>
                <w:rFonts w:cs="Calibri"/>
              </w:rPr>
            </w:pPr>
            <w:r>
              <w:rPr>
                <w:rFonts w:cs="Calibri" w:cstheme="minorHAnsi"/>
                <w:b w:val="false"/>
                <w:bCs/>
                <w:color w:val="000000"/>
                <w:sz w:val="22"/>
                <w:szCs w:val="22"/>
              </w:rPr>
              <w:t xml:space="preserve">Τμήμα </w:t>
            </w:r>
            <w:r>
              <w:rPr>
                <w:rFonts w:cs="Calibri" w:cstheme="minorHAnsi"/>
                <w:b w:val="false"/>
                <w:bCs w:val="false"/>
              </w:rPr>
              <w:t xml:space="preserve">1) </w:t>
            </w:r>
            <w:r>
              <w:rPr>
                <w:rFonts w:cs="Calibri" w:cstheme="minorHAnsi"/>
                <w:b w:val="false"/>
                <w:bCs w:val="false"/>
                <w:i w:val="false"/>
                <w:strike w:val="false"/>
                <w:dstrike w:val="false"/>
                <w:outline w:val="false"/>
                <w:shadow w:val="false"/>
                <w:sz w:val="24"/>
                <w:szCs w:val="24"/>
                <w:u w:val="single"/>
                <w:em w:val="none"/>
              </w:rPr>
              <w:t xml:space="preserve">ΑΝΑΛΥΤΗΣ ΟΥΡΩΝ ΕΦΗΜΕΡΕΙΟ </w:t>
            </w:r>
            <w:r>
              <w:rPr>
                <w:rFonts w:cs="Calibri"/>
                <w:b w:val="false"/>
                <w:bCs w:val="false"/>
                <w:i w:val="false"/>
                <w:strike w:val="false"/>
                <w:dstrike w:val="false"/>
                <w:outline w:val="false"/>
                <w:shadow w:val="false"/>
                <w:sz w:val="20"/>
                <w:szCs w:val="20"/>
                <w:u w:val="singl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val="false"/>
                <w:bCs w:val="false"/>
                <w:i w:val="false"/>
                <w:strike w:val="false"/>
                <w:dstrike w:val="false"/>
                <w:outline w:val="false"/>
                <w:shadow w:val="false"/>
                <w:sz w:val="20"/>
                <w:szCs w:val="20"/>
                <w:u w:val="single"/>
                <w:em w:val="none"/>
              </w:rPr>
              <w:t>συνοδό εξοπλισμό),</w:t>
            </w:r>
            <w:r>
              <w:rPr>
                <w:rFonts w:cs="Calibri" w:cstheme="minorHAnsi"/>
                <w:b w:val="false"/>
                <w:bCs/>
                <w:i w:val="false"/>
                <w:strike w:val="false"/>
                <w:dstrike w:val="false"/>
                <w:outline w:val="false"/>
                <w:shadow w:val="false"/>
                <w:color w:val="000000"/>
                <w:sz w:val="22"/>
                <w:szCs w:val="22"/>
                <w:u w:val="single"/>
                <w:em w:val="none"/>
              </w:rPr>
              <w:t>Τμήμα</w:t>
            </w:r>
            <w:r>
              <w:rPr>
                <w:rFonts w:cs="Calibri"/>
                <w:b w:val="false"/>
                <w:bCs w:val="false"/>
                <w:i w:val="false"/>
                <w:strike w:val="false"/>
                <w:dstrike w:val="false"/>
                <w:outline w:val="false"/>
                <w:shadow w:val="false"/>
                <w:sz w:val="20"/>
                <w:szCs w:val="20"/>
                <w:u w:val="single"/>
                <w:em w:val="none"/>
              </w:rPr>
              <w:t xml:space="preserve"> 2</w:t>
            </w:r>
            <w:r>
              <w:rPr>
                <w:rFonts w:cs="Calibri" w:cstheme="minorHAnsi"/>
                <w:b w:val="false"/>
                <w:bCs w:val="false"/>
                <w:i w:val="false"/>
                <w:strike w:val="false"/>
                <w:dstrike w:val="false"/>
                <w:outline w:val="false"/>
                <w:shadow w:val="false"/>
                <w:sz w:val="24"/>
                <w:szCs w:val="24"/>
                <w:u w:val="single"/>
                <w:em w:val="none"/>
              </w:rPr>
              <w:t>) ΑΝΟΣΟΕΝΖΥΜΙΚΟΣ ΑΝΑΛΥΤΗΣ ΤΕΧΝΙΚΗ ELISA</w:t>
            </w:r>
            <w:r>
              <w:rPr>
                <w:rFonts w:cs="Calibri"/>
                <w:b w:val="false"/>
                <w:bCs w:val="false"/>
                <w:i w:val="false"/>
                <w:strike w:val="false"/>
                <w:dstrike w:val="false"/>
                <w:outline w:val="false"/>
                <w:shadow w:val="false"/>
                <w:sz w:val="20"/>
                <w:szCs w:val="20"/>
                <w:u w:val="singl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val="false"/>
                <w:bCs w:val="false"/>
                <w:i w:val="false"/>
                <w:strike w:val="false"/>
                <w:dstrike w:val="false"/>
                <w:outline w:val="false"/>
                <w:shadow w:val="false"/>
                <w:sz w:val="20"/>
                <w:szCs w:val="20"/>
                <w:u w:val="single"/>
                <w:em w:val="none"/>
              </w:rPr>
              <w:t>συνοδό εξοπλισμό)</w:t>
            </w:r>
            <w:r>
              <w:rPr>
                <w:rFonts w:cs="Calibri" w:cstheme="minorHAnsi"/>
                <w:b w:val="false"/>
                <w:bCs w:val="false"/>
                <w:i w:val="false"/>
                <w:strike w:val="false"/>
                <w:dstrike w:val="false"/>
                <w:outline w:val="false"/>
                <w:shadow w:val="false"/>
                <w:sz w:val="24"/>
                <w:szCs w:val="24"/>
                <w:u w:val="single"/>
                <w:em w:val="none"/>
              </w:rPr>
              <w:t xml:space="preserve"> και </w:t>
            </w:r>
            <w:r>
              <w:rPr>
                <w:rFonts w:cs="Calibri" w:cstheme="minorHAnsi"/>
                <w:b w:val="false"/>
                <w:bCs/>
                <w:i w:val="false"/>
                <w:strike w:val="false"/>
                <w:dstrike w:val="false"/>
                <w:outline w:val="false"/>
                <w:shadow w:val="false"/>
                <w:color w:val="000000"/>
                <w:sz w:val="22"/>
                <w:szCs w:val="22"/>
                <w:u w:val="single"/>
                <w:em w:val="none"/>
              </w:rPr>
              <w:t xml:space="preserve">Τμήμα </w:t>
            </w:r>
            <w:r>
              <w:rPr>
                <w:rFonts w:cs="Calibri" w:cstheme="minorHAnsi"/>
                <w:b w:val="false"/>
                <w:bCs w:val="false"/>
                <w:i w:val="false"/>
                <w:strike w:val="false"/>
                <w:dstrike w:val="false"/>
                <w:outline w:val="false"/>
                <w:shadow w:val="false"/>
                <w:sz w:val="24"/>
                <w:szCs w:val="24"/>
                <w:u w:val="single"/>
                <w:em w:val="none"/>
              </w:rPr>
              <w:t>3)</w:t>
            </w:r>
            <w:r>
              <w:rPr>
                <w:rFonts w:cs="Calibri" w:cstheme="minorHAnsi"/>
                <w:b w:val="false"/>
                <w:bCs w:val="false"/>
                <w:i w:val="false"/>
                <w:strike w:val="false"/>
                <w:dstrike w:val="false"/>
                <w:outline w:val="false"/>
                <w:shadow w:val="false"/>
                <w:sz w:val="24"/>
                <w:szCs w:val="24"/>
                <w:u w:val="single"/>
                <w:shd w:fill="auto" w:val="clear"/>
                <w:em w:val="none"/>
                <w:lang w:val="el-GR" w:eastAsia="en-US"/>
              </w:rPr>
              <w:t xml:space="preserve"> Σ</w:t>
            </w:r>
            <w:r>
              <w:rPr>
                <w:rFonts w:cs="Calibri" w:cstheme="minorHAnsi"/>
                <w:b w:val="false"/>
                <w:bCs w:val="false"/>
                <w:i w:val="false"/>
                <w:strike w:val="false"/>
                <w:dstrike w:val="false"/>
                <w:outline w:val="false"/>
                <w:shadow w:val="false"/>
                <w:sz w:val="24"/>
                <w:szCs w:val="24"/>
                <w:u w:val="single"/>
                <w:shd w:fill="auto" w:val="clear"/>
                <w:em w:val="none"/>
              </w:rPr>
              <w:t>ΥΣΤΗΜΑ ΗΛΕΚΤΡΟΦΟΡΗΣΗΣ-ΑΝΟΣΟΚΑΘΗΛΩΣΗΣ</w:t>
            </w:r>
            <w:r>
              <w:rPr>
                <w:rFonts w:cs="Calibri"/>
                <w:b w:val="false"/>
                <w:bCs w:val="false"/>
                <w:i w:val="false"/>
                <w:strike w:val="false"/>
                <w:dstrike w:val="false"/>
                <w:outline w:val="false"/>
                <w:shadow w:val="false"/>
                <w:sz w:val="20"/>
                <w:szCs w:val="20"/>
                <w:u w:val="single"/>
                <w:shd w:fill="auto" w:val="clear"/>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0"/>
                <w:szCs w:val="20"/>
                <w:u w:val="single"/>
                <w:shd w:fill="auto" w:val="clear"/>
                <w:em w:val="none"/>
                <w:lang w:val="el-GR" w:eastAsia="zh-CN" w:bidi="ar-SA"/>
              </w:rPr>
              <w:t xml:space="preserve">δωρεάν </w:t>
            </w:r>
            <w:r>
              <w:rPr>
                <w:rFonts w:cs="Calibri"/>
                <w:b w:val="false"/>
                <w:bCs w:val="false"/>
                <w:i w:val="false"/>
                <w:strike w:val="false"/>
                <w:dstrike w:val="false"/>
                <w:outline w:val="false"/>
                <w:shadow w:val="false"/>
                <w:sz w:val="20"/>
                <w:szCs w:val="20"/>
                <w:u w:val="single"/>
                <w:shd w:fill="auto" w:val="clear"/>
                <w:em w:val="none"/>
              </w:rPr>
              <w:t>συνοδό εξοπλισμό)</w:t>
            </w:r>
            <w:r>
              <w:rPr>
                <w:rFonts w:cs="Calibri" w:cstheme="minorHAnsi"/>
                <w:b w:val="false"/>
                <w:bCs w:val="false"/>
                <w:i w:val="false"/>
                <w:strike w:val="false"/>
                <w:dstrike w:val="false"/>
                <w:outline w:val="false"/>
                <w:shadow w:val="false"/>
                <w:sz w:val="24"/>
                <w:szCs w:val="24"/>
                <w:u w:val="single"/>
                <w:shd w:fill="auto" w:val="clear"/>
                <w:em w:val="none"/>
              </w:rPr>
              <w:t xml:space="preserve"> </w:t>
            </w:r>
            <w:r>
              <w:rPr>
                <w:rFonts w:cs="Calibri" w:cstheme="minorHAnsi"/>
                <w:b w:val="false"/>
                <w:bCs w:val="false"/>
              </w:rPr>
              <w:t>»</w:t>
            </w:r>
          </w:p>
        </w:tc>
      </w:tr>
      <w:tr>
        <w:trPr>
          <w:trHeight w:val="477"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eastAsia="Times New Roman" w:cs="Calibri"/>
                <w:b/>
                <w:b/>
              </w:rPr>
            </w:pPr>
            <w:r>
              <w:rPr>
                <w:rFonts w:eastAsia="Times New Roman" w:cs="Calibri" w:cstheme="minorHAnsi"/>
                <w:b/>
                <w:lang w:eastAsia="el-GR"/>
              </w:rPr>
              <w:t xml:space="preserve"> </w:t>
            </w:r>
            <w:r>
              <w:rPr>
                <w:rFonts w:eastAsia="Times New Roman" w:cs="Calibri" w:cstheme="minorHAnsi"/>
                <w:b/>
                <w:lang w:eastAsia="el-GR"/>
              </w:rPr>
              <w:t>Κωδικός CPV</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hanging="0"/>
              <w:rPr>
                <w:rFonts w:cs="Calibri"/>
                <w:shd w:fill="auto" w:val="clear"/>
                <w:lang w:val="en-US"/>
              </w:rPr>
            </w:pPr>
            <w:r>
              <w:rPr>
                <w:rFonts w:cs="Calibri"/>
                <w:shd w:fill="auto" w:val="clear"/>
                <w:lang w:val="en-US"/>
              </w:rPr>
              <w:t>33698100-0</w:t>
            </w:r>
          </w:p>
        </w:tc>
      </w:tr>
      <w:tr>
        <w:trPr>
          <w:trHeight w:val="437"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hanging="0"/>
              <w:rPr>
                <w:rFonts w:cs="Calibri"/>
                <w:b/>
                <w:b/>
              </w:rPr>
            </w:pPr>
            <w:r>
              <w:rPr>
                <w:rFonts w:cs="Calibri" w:cstheme="minorHAnsi"/>
                <w:b/>
                <w:bCs/>
              </w:rPr>
              <w:t>Χρηματοδότηση</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both"/>
              <w:rPr>
                <w:rFonts w:cs="Calibri"/>
              </w:rPr>
            </w:pPr>
            <w:r>
              <w:rPr>
                <w:rFonts w:cs="Calibri" w:cstheme="minorHAnsi"/>
              </w:rPr>
              <w:t xml:space="preserve">Η σύμβαση χρηματοδοτείται από τον προϋπολογισμό του Γ.Ν. Σερρών, ΚΑΕ: </w:t>
            </w:r>
            <w:r>
              <w:rPr>
                <w:rFonts w:cs="Calibri"/>
                <w:b w:val="false"/>
                <w:bCs w:val="false"/>
                <w:sz w:val="22"/>
                <w:szCs w:val="22"/>
              </w:rPr>
              <w:t>1359.01</w:t>
            </w:r>
          </w:p>
        </w:tc>
      </w:tr>
      <w:tr>
        <w:trPr>
          <w:trHeight w:val="902"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hanging="0"/>
              <w:rPr>
                <w:rFonts w:eastAsia="Calibri" w:cs="Calibri"/>
                <w:b/>
                <w:b/>
              </w:rPr>
            </w:pPr>
            <w:r>
              <w:rPr>
                <w:rFonts w:eastAsia="Calibri" w:cs="Calibri" w:cstheme="minorHAnsi"/>
                <w:b/>
              </w:rPr>
              <w:t>Προϋπολογισμός</w:t>
            </w:r>
          </w:p>
          <w:p>
            <w:pPr>
              <w:pStyle w:val="Normal"/>
              <w:widowControl w:val="false"/>
              <w:tabs>
                <w:tab w:val="clear" w:pos="720"/>
                <w:tab w:val="left" w:pos="176" w:leader="none"/>
              </w:tabs>
              <w:spacing w:lineRule="auto" w:line="240" w:before="0" w:after="0"/>
              <w:ind w:right="-108" w:hanging="0"/>
              <w:rPr>
                <w:rFonts w:eastAsia="Calibri" w:cs="Calibri" w:cstheme="minorHAnsi"/>
                <w:b/>
                <w:b/>
              </w:rPr>
            </w:pPr>
            <w:r>
              <w:rPr>
                <w:rFonts w:eastAsia="Calibri" w:cs="Calibri" w:cstheme="minorHAnsi"/>
                <w:b/>
              </w:rPr>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b w:val="false"/>
                <w:b w:val="false"/>
                <w:bCs w:val="false"/>
              </w:rPr>
            </w:pPr>
            <w:r>
              <w:rPr>
                <w:rFonts w:eastAsia="Calibri" w:cs="Calibri" w:cstheme="minorHAnsi"/>
                <w:b w:val="false"/>
                <w:bCs w:val="false"/>
              </w:rPr>
              <w:t xml:space="preserve">Έως του ποσού των:Τμήμα 1) 2.000,00 </w:t>
            </w:r>
            <w:r>
              <w:rPr>
                <w:rFonts w:eastAsia="Times New Roman" w:cs="Calibri" w:cstheme="minorHAnsi"/>
                <w:b w:val="false"/>
                <w:bCs w:val="false"/>
                <w:lang w:eastAsia="el-GR"/>
              </w:rPr>
              <w:t>€, Τμήμα 2)</w:t>
            </w:r>
            <w:r>
              <w:rPr>
                <w:rFonts w:eastAsia="Times New Roman"/>
                <w:b w:val="false"/>
                <w:bCs w:val="false"/>
                <w:lang w:eastAsia="el-GR"/>
              </w:rPr>
              <w:t xml:space="preserve">19.171,20€ και Τμήμα 3) </w:t>
            </w:r>
            <w:r>
              <w:rPr>
                <w:rFonts w:eastAsia="Times New Roman" w:cs="Calibri" w:cstheme="minorHAnsi"/>
                <w:b w:val="false"/>
                <w:bCs w:val="false"/>
                <w:lang w:eastAsia="el-GR"/>
              </w:rPr>
              <w:t>6.420,00€</w:t>
            </w:r>
            <w:r>
              <w:rPr>
                <w:rFonts w:eastAsia="Times New Roman" w:cs="Calibri" w:cstheme="minorHAnsi"/>
                <w:b w:val="false"/>
                <w:bCs w:val="false"/>
              </w:rPr>
              <w:t xml:space="preserve"> συμπεριλαμβανομένου</w:t>
            </w:r>
            <w:r>
              <w:rPr>
                <w:rFonts w:cs="Calibri" w:cstheme="minorHAnsi"/>
                <w:b w:val="false"/>
                <w:bCs w:val="false"/>
              </w:rPr>
              <w:t xml:space="preserve"> </w:t>
            </w:r>
            <w:r>
              <w:rPr>
                <w:rFonts w:eastAsia="Calibri" w:cs="Calibri" w:cstheme="minorHAnsi"/>
                <w:b w:val="false"/>
                <w:bCs w:val="false"/>
              </w:rPr>
              <w:t xml:space="preserve">ΦΠΑ 24%(Σύνολο:27.591,20€ </w:t>
            </w:r>
            <w:r>
              <w:rPr>
                <w:rFonts w:eastAsia="Times New Roman" w:cs="Calibri" w:cstheme="minorHAnsi"/>
                <w:b w:val="false"/>
                <w:bCs w:val="false"/>
              </w:rPr>
              <w:t>συμπεριλαμβανομένου</w:t>
            </w:r>
            <w:r>
              <w:rPr>
                <w:rFonts w:eastAsia="Calibri" w:cs="Calibri" w:cstheme="minorHAnsi"/>
                <w:b w:val="false"/>
                <w:bCs w:val="false"/>
              </w:rPr>
              <w:t xml:space="preserve"> ΦΠΑ 24%)</w:t>
            </w:r>
          </w:p>
        </w:tc>
      </w:tr>
      <w:tr>
        <w:trPr>
          <w:trHeight w:val="778"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hanging="0"/>
              <w:rPr>
                <w:rFonts w:cs="Calibri"/>
                <w:b/>
                <w:b/>
                <w:bCs/>
              </w:rPr>
            </w:pPr>
            <w:r>
              <w:rPr>
                <w:rFonts w:cs="Calibri" w:cstheme="minorHAnsi"/>
                <w:b/>
                <w:bCs/>
              </w:rPr>
              <w:t>Κριτήριο Ανάθεσης</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hanging="0"/>
              <w:rPr>
                <w:rFonts w:eastAsia="Calibri" w:cs="Calibri"/>
              </w:rPr>
            </w:pPr>
            <w:r>
              <w:rPr>
                <w:rFonts w:eastAsia="Calibri" w:cs="Calibri" w:cstheme="minorHAnsi"/>
              </w:rPr>
              <w:t>Η πλέον συμφέρουσα από οικονομική άποψη προσφορά αποκλειστικά βάσει της τιμής</w:t>
            </w:r>
            <w:r>
              <w:rPr>
                <w:rFonts w:eastAsia="Calibri" w:cs="Calibri" w:cstheme="minorHAnsi"/>
                <w:shd w:fill="auto" w:val="clear"/>
              </w:rPr>
              <w:t xml:space="preserve"> (χαμηλότερη τιμή).</w:t>
            </w:r>
          </w:p>
        </w:tc>
      </w:tr>
      <w:tr>
        <w:trPr>
          <w:trHeight w:val="699"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eastAsia="Times New Roman" w:cs="Calibri"/>
                <w:b/>
                <w:b/>
                <w:lang w:eastAsia="el-GR"/>
              </w:rPr>
            </w:pPr>
            <w:r>
              <w:rPr>
                <w:rFonts w:eastAsia="Times New Roman" w:cs="Calibri" w:cstheme="minorHAnsi"/>
                <w:b/>
                <w:lang w:eastAsia="el-GR"/>
              </w:rPr>
              <w:t xml:space="preserve"> </w:t>
            </w:r>
            <w:r>
              <w:rPr>
                <w:rFonts w:eastAsia="Times New Roman" w:cs="Calibri" w:cstheme="minorHAnsi"/>
                <w:b/>
                <w:lang w:eastAsia="el-GR"/>
              </w:rPr>
              <w:t>Τόπος διενέργειας του διαγωνισμού</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lang w:eastAsia="el-GR"/>
              </w:rPr>
            </w:pPr>
            <w:r>
              <w:rPr>
                <w:rFonts w:eastAsia="Times New Roman" w:cs="Calibri" w:cstheme="minorHAnsi"/>
                <w:lang w:eastAsia="el-GR"/>
              </w:rPr>
              <w:t>Γενικό Νοσοκομείο Σερρών, Τμήμα Προμηθειών,</w:t>
            </w:r>
          </w:p>
        </w:tc>
      </w:tr>
      <w:tr>
        <w:trPr>
          <w:trHeight w:val="1405"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cs="Calibri"/>
                <w:b/>
                <w:b/>
                <w:lang w:eastAsia="el-GR"/>
              </w:rPr>
            </w:pPr>
            <w:r>
              <w:rPr>
                <w:rFonts w:cs="Calibri" w:cstheme="minorHAnsi"/>
                <w:b/>
                <w:lang w:eastAsia="el-GR"/>
              </w:rPr>
              <w:t xml:space="preserve">  </w:t>
            </w:r>
            <w:r>
              <w:rPr>
                <w:rFonts w:cs="Calibri" w:cstheme="minorHAnsi"/>
                <w:b/>
                <w:lang w:eastAsia="el-GR"/>
              </w:rPr>
              <w:t>Τόπος κατάθεσης των προσφορών</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both"/>
              <w:rPr>
                <w:rFonts w:cs="Calibri"/>
              </w:rPr>
            </w:pPr>
            <w:r>
              <w:rPr>
                <w:rFonts w:cs="Calibri" w:cstheme="minorHAnsi"/>
              </w:rPr>
              <w:t>Οι προσφορές κατατίθενται ή αποστέλλονται ταχυδρομικά στο Τμήμα Γραμματείας του Γ.Ν. Σερρών, σε σφραγισμένο φάκελο, στη διεύθυνση:</w:t>
            </w:r>
          </w:p>
          <w:p>
            <w:pPr>
              <w:pStyle w:val="Normal"/>
              <w:widowControl w:val="false"/>
              <w:spacing w:before="0" w:after="0"/>
              <w:ind w:right="-108" w:hanging="0"/>
              <w:jc w:val="both"/>
              <w:rPr>
                <w:rFonts w:cs="Calibri"/>
                <w:lang w:eastAsia="el-GR"/>
              </w:rPr>
            </w:pPr>
            <w:r>
              <w:rPr>
                <w:rFonts w:cs="Calibri" w:cstheme="minorHAnsi"/>
                <w:lang w:eastAsia="el-GR"/>
              </w:rPr>
              <w:t>Γενικό Νοσοκομείο Σερρών, 2</w:t>
            </w:r>
            <w:r>
              <w:rPr>
                <w:rFonts w:cs="Calibri" w:cstheme="minorHAnsi"/>
                <w:vertAlign w:val="superscript"/>
                <w:lang w:eastAsia="el-GR"/>
              </w:rPr>
              <w:t xml:space="preserve">ο </w:t>
            </w:r>
            <w:r>
              <w:rPr>
                <w:rFonts w:cs="Calibri" w:cstheme="minorHAnsi"/>
                <w:lang w:eastAsia="el-GR"/>
              </w:rPr>
              <w:t>χ.λ.μ. Ε.Ο. Σερρών-Δράμας.</w:t>
            </w:r>
          </w:p>
          <w:p>
            <w:pPr>
              <w:pStyle w:val="Normal"/>
              <w:widowControl w:val="false"/>
              <w:spacing w:lineRule="auto" w:line="240" w:before="0" w:after="0"/>
              <w:ind w:right="-108" w:hanging="0"/>
              <w:jc w:val="both"/>
              <w:rPr>
                <w:rFonts w:cs="Calibri"/>
                <w:lang w:eastAsia="el-GR"/>
              </w:rPr>
            </w:pPr>
            <w:r>
              <w:rPr>
                <w:rFonts w:cs="Calibri" w:cstheme="minorHAnsi"/>
                <w:lang w:eastAsia="el-GR"/>
              </w:rPr>
              <w:t>Τ.Κ 62 100, για το Τμήμα Προμηθειών.</w:t>
            </w:r>
          </w:p>
        </w:tc>
      </w:tr>
      <w:tr>
        <w:trPr>
          <w:trHeight w:val="701"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cs="Calibri"/>
                <w:b/>
                <w:b/>
                <w:bCs/>
                <w:highlight w:val="none"/>
                <w:shd w:fill="auto" w:val="clear"/>
              </w:rPr>
            </w:pPr>
            <w:r>
              <w:rPr>
                <w:rFonts w:cs="Calibri" w:cstheme="minorHAnsi"/>
                <w:b/>
                <w:bCs/>
                <w:shd w:fill="auto" w:val="clear"/>
              </w:rPr>
              <w:t xml:space="preserve"> </w:t>
            </w:r>
            <w:r>
              <w:rPr>
                <w:rFonts w:cs="Calibri" w:cstheme="minorHAnsi"/>
                <w:b/>
                <w:bCs/>
                <w:shd w:fill="auto" w:val="clear"/>
              </w:rPr>
              <w:t>Καταληκτική ημερομηνία υποβολής</w:t>
            </w:r>
          </w:p>
          <w:p>
            <w:pPr>
              <w:pStyle w:val="Normal"/>
              <w:widowControl w:val="false"/>
              <w:tabs>
                <w:tab w:val="clear" w:pos="720"/>
                <w:tab w:val="left" w:pos="176" w:leader="none"/>
              </w:tabs>
              <w:spacing w:lineRule="auto" w:line="240" w:before="0" w:after="0"/>
              <w:ind w:left="-108" w:right="-108" w:hanging="0"/>
              <w:rPr>
                <w:rFonts w:cs="Calibri"/>
                <w:b/>
                <w:b/>
                <w:highlight w:val="none"/>
                <w:shd w:fill="auto" w:val="clear"/>
              </w:rPr>
            </w:pPr>
            <w:r>
              <w:rPr>
                <w:rFonts w:cs="Calibri" w:cstheme="minorHAnsi"/>
                <w:b/>
                <w:bCs/>
                <w:shd w:fill="auto" w:val="clear"/>
              </w:rPr>
              <w:t xml:space="preserve"> </w:t>
            </w:r>
            <w:r>
              <w:rPr>
                <w:rFonts w:cs="Calibri" w:cstheme="minorHAnsi"/>
                <w:b/>
                <w:bCs/>
                <w:shd w:fill="auto" w:val="clear"/>
              </w:rPr>
              <w:t>προσφορών</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b/>
                <w:b/>
                <w:highlight w:val="none"/>
                <w:shd w:fill="auto" w:val="clear"/>
                <w:lang w:eastAsia="el-GR"/>
              </w:rPr>
            </w:pPr>
            <w:r>
              <w:rPr>
                <w:rFonts w:eastAsia="Times New Roman" w:cs="Calibri" w:cstheme="minorHAnsi"/>
                <w:b/>
                <w:shd w:fill="auto" w:val="clear"/>
                <w:lang w:eastAsia="el-GR"/>
              </w:rPr>
              <w:t>28/02/2023 ημέρα Τρίτη και ώρα 14:00 μ.μ.</w:t>
            </w:r>
          </w:p>
        </w:tc>
      </w:tr>
      <w:tr>
        <w:trPr>
          <w:trHeight w:val="555"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jc w:val="both"/>
              <w:rPr>
                <w:rFonts w:cs="Calibri"/>
                <w:b/>
                <w:b/>
              </w:rPr>
            </w:pPr>
            <w:r>
              <w:rPr>
                <w:rFonts w:cs="Calibri" w:cstheme="minorHAnsi"/>
                <w:b/>
                <w:bCs/>
              </w:rPr>
              <w:t xml:space="preserve"> </w:t>
            </w:r>
            <w:r>
              <w:rPr>
                <w:rFonts w:cs="Calibri" w:cstheme="minorHAnsi"/>
                <w:b/>
                <w:bCs/>
              </w:rPr>
              <w:t>Ημερομηνία αποσφράγισης προσφορών</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cstheme="minorHAnsi"/>
                <w:b/>
                <w:b/>
                <w:highlight w:val="none"/>
                <w:shd w:fill="auto" w:val="clear"/>
              </w:rPr>
            </w:pPr>
            <w:r>
              <w:rPr>
                <w:rFonts w:eastAsia="Times New Roman" w:cs="Calibri" w:cstheme="minorHAnsi"/>
                <w:b/>
                <w:shd w:fill="auto" w:val="clear"/>
                <w:lang w:eastAsia="el-GR"/>
              </w:rPr>
              <w:t>01/03/2023 ημέρα Τετάρτη και ώρα 11:00 π.μ.</w:t>
            </w:r>
          </w:p>
        </w:tc>
      </w:tr>
      <w:tr>
        <w:trPr>
          <w:trHeight w:val="699" w:hRule="atLeast"/>
        </w:trPr>
        <w:tc>
          <w:tcPr>
            <w:tcW w:w="38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cs="Calibri"/>
                <w:b/>
                <w:b/>
              </w:rPr>
            </w:pPr>
            <w:r>
              <w:rPr>
                <w:rFonts w:cs="Calibri" w:cstheme="minorHAnsi"/>
                <w:b/>
                <w:bCs/>
              </w:rPr>
              <w:t xml:space="preserve"> </w:t>
            </w:r>
            <w:r>
              <w:rPr>
                <w:rFonts w:cs="Calibri" w:cstheme="minorHAnsi"/>
                <w:b/>
                <w:bCs/>
              </w:rPr>
              <w:t>Διάρκεια ισχύος προσφορών</w:t>
            </w:r>
          </w:p>
        </w:tc>
        <w:tc>
          <w:tcPr>
            <w:tcW w:w="65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rPr>
            </w:pPr>
            <w:r>
              <w:rPr>
                <w:rFonts w:cs="Calibri" w:cstheme="minorHAnsi"/>
              </w:rPr>
              <w:t>180 μέρες από την επομένη της καταληκτικής ημερομηνίας για την υποβολή των προσφορών.</w:t>
            </w:r>
          </w:p>
        </w:tc>
      </w:tr>
      <w:tr>
        <w:trPr>
          <w:trHeight w:val="844" w:hRule="atLeast"/>
        </w:trPr>
        <w:tc>
          <w:tcPr>
            <w:tcW w:w="3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20"/>
                <w:tab w:val="left" w:pos="176" w:leader="none"/>
              </w:tabs>
              <w:spacing w:lineRule="auto" w:line="240" w:before="0" w:after="0"/>
              <w:ind w:left="-108" w:right="-108" w:hanging="0"/>
              <w:rPr>
                <w:rFonts w:eastAsia="Calibri" w:cs="Calibri"/>
                <w:b/>
                <w:b/>
              </w:rPr>
            </w:pPr>
            <w:r>
              <w:rPr>
                <w:rFonts w:eastAsia="Calibri" w:cs="Calibri" w:cstheme="minorHAnsi"/>
                <w:b/>
              </w:rPr>
              <w:t xml:space="preserve"> </w:t>
            </w:r>
            <w:r>
              <w:rPr>
                <w:rFonts w:eastAsia="Calibri" w:cs="Calibri" w:cstheme="minorHAnsi"/>
                <w:b/>
              </w:rPr>
              <w:t>Κρατήσεις</w:t>
            </w:r>
          </w:p>
        </w:tc>
        <w:tc>
          <w:tcPr>
            <w:tcW w:w="65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ind w:left="33" w:right="175" w:hanging="0"/>
              <w:jc w:val="both"/>
              <w:rPr>
                <w:rFonts w:cs="Calibri"/>
              </w:rPr>
            </w:pPr>
            <w:r>
              <w:rPr>
                <w:rFonts w:eastAsia="Calibri" w:cs="Calibri" w:cstheme="minorHAnsi"/>
              </w:rPr>
              <w:t>Οι τιμές υπόκεινται στις υπέρ του Δημοσίου και τρίτων νόμιμες κρατήσεις.</w:t>
            </w:r>
          </w:p>
        </w:tc>
      </w:tr>
    </w:tbl>
    <w:p>
      <w:pPr>
        <w:pStyle w:val="Normal"/>
        <w:spacing w:lineRule="auto" w:line="240" w:before="0" w:after="0"/>
        <w:rPr>
          <w:rFonts w:cs="Calibri" w:cstheme="minorHAnsi"/>
          <w:b/>
          <w:b/>
          <w:bCs/>
        </w:rPr>
      </w:pPr>
      <w:r>
        <w:rPr>
          <w:rFonts w:cs="Calibri" w:cstheme="minorHAnsi"/>
          <w:b/>
          <w:bCs/>
        </w:rPr>
      </w:r>
    </w:p>
    <w:p>
      <w:pPr>
        <w:pStyle w:val="Normal"/>
        <w:spacing w:lineRule="auto" w:line="240"/>
        <w:jc w:val="center"/>
        <w:rPr/>
      </w:pPr>
      <w:r>
        <w:rPr>
          <w:b/>
          <w:u w:val="single"/>
        </w:rPr>
        <w:t>Θεσμικό πλαίσιο</w:t>
      </w:r>
    </w:p>
    <w:p>
      <w:pPr>
        <w:pStyle w:val="Normal"/>
        <w:jc w:val="both"/>
        <w:rPr/>
      </w:pPr>
      <w:r>
        <w:rPr>
          <w:sz w:val="22"/>
          <w:szCs w:val="22"/>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r>
        <w:rPr>
          <w:rStyle w:val="Style11"/>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4412/2016 (Α' 147) «</w:t>
      </w:r>
      <w:r>
        <w:rPr>
          <w:i/>
          <w:sz w:val="22"/>
          <w:szCs w:val="22"/>
        </w:rPr>
        <w:t xml:space="preserve">Δημόσιες Συμβάσεις Έργων, Προμηθειών και Υπηρεσιών (προσαρμογή στις Οδηγίες 2014/24/ ΕΕ και </w:t>
      </w:r>
      <w:r>
        <w:rPr>
          <w:b w:val="false"/>
          <w:bCs w:val="false"/>
          <w:i w:val="false"/>
          <w:iCs w:val="false"/>
          <w:sz w:val="22"/>
          <w:szCs w:val="22"/>
        </w:rPr>
        <w:t>2014/25/ΕΕ)» και ιδίως του άρθρου 118: «Απευθείας Ανάθεση» και του άρθρου 6 «Μέθοδοι υπολογισμού της εκτιμώμενης αξίας της σύμβασης (άρθρο 5 της Οδηγίας 2014/24/ΕΕ)</w:t>
      </w:r>
      <w:r>
        <w:rPr>
          <w:i/>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4270/2014 (Α' 143) «</w:t>
      </w:r>
      <w:r>
        <w:rPr>
          <w:i/>
          <w:sz w:val="22"/>
          <w:szCs w:val="22"/>
        </w:rPr>
        <w:t>Αρχές δημοσιονομικής διαχείρισης και εποπτείας (ενσωμάτωση της Οδηγίας 2011/85/ΕΕ) – δημόσιο λογιστικό και άλλες διατάξεις</w:t>
      </w:r>
      <w:r>
        <w:rPr>
          <w:sz w:val="22"/>
          <w:szCs w:val="22"/>
        </w:rPr>
        <w:t>»</w:t>
      </w:r>
      <w:r>
        <w:rPr>
          <w:b/>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4250/2014 (Α' 74) «</w:t>
      </w:r>
      <w:r>
        <w:rPr>
          <w:i/>
          <w:sz w:val="22"/>
          <w:szCs w:val="22"/>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Pr>
          <w:sz w:val="22"/>
          <w:szCs w:val="22"/>
        </w:rPr>
        <w:t xml:space="preserve">» και ειδικότερα τις διατάξεις του άρθρου 1, </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της παρ. Ζ του ν. 4152/2013 (Α' 107) «</w:t>
      </w:r>
      <w:r>
        <w:rPr>
          <w:i/>
          <w:sz w:val="22"/>
          <w:szCs w:val="22"/>
        </w:rPr>
        <w:t>Προσαρμογή της ελληνικής νομοθεσίας στην Οδηγία 2011/7 της 16.2.2011 για την καταπολέμηση των καθυστερήσεων πληρωμών στις εμπορικές συναλλαγές</w:t>
      </w:r>
      <w:r>
        <w:rPr>
          <w:sz w:val="22"/>
          <w:szCs w:val="22"/>
        </w:rPr>
        <w:t xml:space="preserve">», </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4129/2013 (Α’ 52) «</w:t>
      </w:r>
      <w:r>
        <w:rPr>
          <w:i/>
          <w:sz w:val="22"/>
          <w:szCs w:val="22"/>
        </w:rPr>
        <w:t>Κύρωση του Κώδικα Νόμων για το Ελεγκτικό Συνέδριο</w:t>
      </w:r>
      <w:r>
        <w:rPr>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4013/2011 (Α’ 204) «</w:t>
      </w:r>
      <w:r>
        <w:rPr>
          <w:i/>
          <w:sz w:val="22"/>
          <w:szCs w:val="22"/>
        </w:rPr>
        <w:t>Σύσταση ενιαίας Ανεξάρτητης Αρχής Δημοσίων Συμβάσεων και Κεντρικού Ηλεκτρονικού Μητρώου Δημοσίων Συμβάσεων…</w:t>
      </w:r>
      <w:r>
        <w:rPr>
          <w:sz w:val="22"/>
          <w:szCs w:val="22"/>
        </w:rPr>
        <w:t xml:space="preserve">», </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3861/2010 (Α’ 112) «</w:t>
      </w:r>
      <w:r>
        <w:rPr>
          <w:i/>
          <w:iCs/>
          <w:sz w:val="22"/>
          <w:szCs w:val="22"/>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 2859/2000 (Α’ 248) «</w:t>
      </w:r>
      <w:r>
        <w:rPr>
          <w:i/>
          <w:sz w:val="22"/>
          <w:szCs w:val="22"/>
        </w:rPr>
        <w:t>Κύρωση Κώδικα Φόρου Προστιθέμενης Αξίας</w:t>
      </w:r>
      <w:r>
        <w:rPr>
          <w:sz w:val="22"/>
          <w:szCs w:val="22"/>
        </w:rPr>
        <w:t xml:space="preserve">», </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του ν.2690/1999 (Α' 45) “</w:t>
      </w:r>
      <w:r>
        <w:rPr>
          <w:i/>
          <w:sz w:val="22"/>
          <w:szCs w:val="22"/>
        </w:rPr>
        <w:t>Κύρωση του Κώδικα Διοικητικής Διαδικασίας και άλλες διατάξεις</w:t>
      </w:r>
      <w:r>
        <w:rPr>
          <w:sz w:val="22"/>
          <w:szCs w:val="22"/>
        </w:rPr>
        <w:t>” και ιδίως των άρθρων 7 και 13 έως 15,</w:t>
      </w:r>
    </w:p>
    <w:p>
      <w:pPr>
        <w:pStyle w:val="Normal"/>
        <w:numPr>
          <w:ilvl w:val="0"/>
          <w:numId w:val="7"/>
        </w:numPr>
        <w:suppressAutoHyphens w:val="true"/>
        <w:spacing w:before="0" w:after="120"/>
        <w:ind w:left="284" w:hanging="284"/>
        <w:jc w:val="both"/>
        <w:rPr>
          <w:rFonts w:ascii="Calibri" w:hAnsi="Calibri"/>
          <w:sz w:val="22"/>
          <w:szCs w:val="22"/>
        </w:rPr>
      </w:pPr>
      <w:r>
        <w:rPr>
          <w:bCs/>
          <w:iCs/>
          <w:sz w:val="22"/>
          <w:szCs w:val="22"/>
        </w:rPr>
        <w:t>του π.δ. 80/2016 (Α΄145) “</w:t>
      </w:r>
      <w:r>
        <w:rPr>
          <w:bCs/>
          <w:i/>
          <w:iCs/>
          <w:sz w:val="22"/>
          <w:szCs w:val="22"/>
        </w:rPr>
        <w:t>Ανάληψη υποχρεώσεων από τους Διατάκτες</w:t>
      </w:r>
      <w:r>
        <w:rPr>
          <w:bCs/>
          <w:iCs/>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sz w:val="22"/>
          <w:szCs w:val="22"/>
        </w:rPr>
        <w:t>της με αρ. 57654 (Β’ 1781/23.5.2017) Απόφασης του Υπουργού Οικονομίας και Ανάπτυξης «</w:t>
      </w:r>
      <w:r>
        <w:rPr>
          <w:i/>
          <w:sz w:val="22"/>
          <w:szCs w:val="22"/>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Pr>
          <w:sz w:val="22"/>
          <w:szCs w:val="22"/>
        </w:rPr>
        <w:t>»,</w:t>
      </w:r>
    </w:p>
    <w:p>
      <w:pPr>
        <w:pStyle w:val="Normal"/>
        <w:numPr>
          <w:ilvl w:val="0"/>
          <w:numId w:val="7"/>
        </w:numPr>
        <w:suppressAutoHyphens w:val="true"/>
        <w:spacing w:before="0" w:after="120"/>
        <w:ind w:left="284" w:hanging="284"/>
        <w:jc w:val="both"/>
        <w:rPr>
          <w:rFonts w:ascii="Calibri" w:hAnsi="Calibri"/>
          <w:sz w:val="22"/>
          <w:szCs w:val="22"/>
        </w:rPr>
      </w:pPr>
      <w:r>
        <w:rPr>
          <w:rFonts w:eastAsia="Arial Unicode MS" w:cs="Calibri" w:cstheme="minorHAnsi"/>
          <w:sz w:val="22"/>
          <w:szCs w:val="22"/>
          <w:lang w:eastAsia="el-GR"/>
        </w:rPr>
        <w:t>του ν. 3329/2005 (Φ.Ε.Κ. Α’ 81 /4-4-2005) «</w:t>
      </w:r>
      <w:r>
        <w:rPr>
          <w:rFonts w:eastAsia="Arial Unicode MS" w:cs="Calibri" w:cstheme="minorHAnsi"/>
          <w:i/>
          <w:sz w:val="22"/>
          <w:szCs w:val="22"/>
          <w:lang w:eastAsia="el-GR"/>
        </w:rPr>
        <w:t>Εθνικό Σύστημα Υγείας και Κοινωνικής Αλληλεγγύης και λοιπές διατάξεις</w:t>
      </w:r>
      <w:r>
        <w:rPr>
          <w:rFonts w:eastAsia="Arial Unicode MS" w:cs="Calibri" w:cstheme="minorHAnsi"/>
          <w:sz w:val="22"/>
          <w:szCs w:val="22"/>
          <w:lang w:eastAsia="el-GR"/>
        </w:rPr>
        <w:t>», όπως ισχύει σήμερα,</w:t>
      </w:r>
    </w:p>
    <w:p>
      <w:pPr>
        <w:pStyle w:val="Normal"/>
        <w:numPr>
          <w:ilvl w:val="0"/>
          <w:numId w:val="7"/>
        </w:numPr>
        <w:suppressAutoHyphens w:val="true"/>
        <w:spacing w:before="0" w:after="120"/>
        <w:ind w:left="284" w:hanging="284"/>
        <w:jc w:val="both"/>
        <w:rPr>
          <w:rFonts w:ascii="Calibri" w:hAnsi="Calibri"/>
          <w:sz w:val="22"/>
          <w:szCs w:val="22"/>
        </w:rPr>
      </w:pPr>
      <w:r>
        <w:rPr>
          <w:rFonts w:eastAsia="Calibri" w:cs="Calibri" w:cstheme="minorHAnsi"/>
          <w:bCs/>
          <w:sz w:val="22"/>
          <w:szCs w:val="22"/>
          <w:lang w:eastAsia="el-GR"/>
        </w:rPr>
        <w:t>του ν. 3580/2007 (ΦΕΚ Α΄134/18.06.2007) «</w:t>
      </w:r>
      <w:r>
        <w:rPr>
          <w:rFonts w:eastAsia="Calibri" w:cs="Calibri" w:cstheme="minorHAnsi"/>
          <w:bCs/>
          <w:i/>
          <w:sz w:val="22"/>
          <w:szCs w:val="22"/>
          <w:lang w:eastAsia="el-GR"/>
        </w:rPr>
        <w:t>Προμήθειες Φορέων εποπτευομένων από το Υπουργείο Υγείας και Κοινωνικής Αλληλεγγύης και άλλες Διατάξεις</w:t>
      </w:r>
      <w:r>
        <w:rPr>
          <w:rFonts w:eastAsia="Calibri" w:cs="Calibri" w:cstheme="minorHAnsi"/>
          <w:bCs/>
          <w:sz w:val="22"/>
          <w:szCs w:val="22"/>
          <w:lang w:eastAsia="el-GR"/>
        </w:rPr>
        <w:t>»,</w:t>
      </w:r>
    </w:p>
    <w:p>
      <w:pPr>
        <w:pStyle w:val="Normal"/>
        <w:suppressAutoHyphens w:val="true"/>
        <w:spacing w:before="0" w:after="120"/>
        <w:jc w:val="both"/>
        <w:rPr>
          <w:rFonts w:ascii="Calibri" w:hAnsi="Calibri"/>
          <w:sz w:val="22"/>
          <w:szCs w:val="22"/>
        </w:rPr>
      </w:pPr>
      <w:r>
        <w:rPr>
          <w:b/>
          <w:bCs/>
          <w:sz w:val="22"/>
          <w:szCs w:val="22"/>
        </w:rPr>
        <w:t>Τις αποφάσεις:</w:t>
      </w:r>
    </w:p>
    <w:p>
      <w:pPr>
        <w:pStyle w:val="Normal"/>
        <w:numPr>
          <w:ilvl w:val="0"/>
          <w:numId w:val="7"/>
        </w:numPr>
        <w:suppressAutoHyphens w:val="true"/>
        <w:spacing w:before="0" w:after="120"/>
        <w:ind w:left="284" w:hanging="284"/>
        <w:jc w:val="both"/>
        <w:rPr>
          <w:rFonts w:ascii="Calibri" w:hAnsi="Calibri"/>
          <w:sz w:val="22"/>
          <w:szCs w:val="22"/>
        </w:rPr>
      </w:pPr>
      <w:r>
        <w:rPr>
          <w:rFonts w:cs="Calibri" w:cstheme="minorHAnsi"/>
          <w:kern w:val="2"/>
          <w:sz w:val="22"/>
          <w:szCs w:val="22"/>
          <w:shd w:fill="auto" w:val="clear"/>
        </w:rPr>
        <w:t xml:space="preserve">της </w:t>
      </w:r>
      <w:r>
        <w:rPr>
          <w:rFonts w:cs="Calibri" w:cstheme="minorHAnsi"/>
          <w:color w:val="000000"/>
          <w:kern w:val="2"/>
          <w:sz w:val="22"/>
          <w:szCs w:val="22"/>
          <w:shd w:fill="auto" w:val="clear"/>
        </w:rPr>
        <w:t>υπ’ αριθμ. Γ4β</w:t>
      </w:r>
      <w:r>
        <w:rPr>
          <w:rFonts w:cs="Calibri" w:cstheme="minorHAnsi"/>
          <w:kern w:val="2"/>
          <w:sz w:val="22"/>
          <w:szCs w:val="22"/>
          <w:shd w:fill="auto" w:val="clear"/>
        </w:rPr>
        <w:t>/Γ.Π.οικ.1994 (ΦΕΚ 36/18.01.2023 τ. ΥΟΔΔ) Απόφασης του Υπουργείου Υγείας, διορισμού του Διοικητή του Νοσοκομείου Σερρών,</w:t>
      </w:r>
    </w:p>
    <w:p>
      <w:pPr>
        <w:pStyle w:val="Style19"/>
        <w:numPr>
          <w:ilvl w:val="0"/>
          <w:numId w:val="7"/>
        </w:numPr>
        <w:suppressAutoHyphens w:val="true"/>
        <w:spacing w:before="114" w:after="114"/>
        <w:ind w:left="284" w:hanging="284"/>
        <w:jc w:val="both"/>
        <w:rPr>
          <w:rFonts w:ascii="Calibri" w:hAnsi="Calibri"/>
          <w:sz w:val="22"/>
          <w:szCs w:val="22"/>
        </w:rPr>
      </w:pPr>
      <w:r>
        <w:rPr>
          <w:rFonts w:eastAsia="Calibri" w:cs="Calibri"/>
          <w:b w:val="false"/>
          <w:bCs w:val="false"/>
          <w:i w:val="false"/>
          <w:color w:val="000000"/>
          <w:sz w:val="22"/>
          <w:szCs w:val="22"/>
          <w:shd w:fill="auto" w:val="clear"/>
          <w:lang w:val="el-GR"/>
        </w:rPr>
        <w:t xml:space="preserve">Την </w:t>
      </w:r>
      <w:r>
        <w:rPr>
          <w:rFonts w:eastAsia="Calibri" w:cs="Times New Roman"/>
          <w:b w:val="false"/>
          <w:bCs w:val="false"/>
          <w:i w:val="false"/>
          <w:color w:val="000000"/>
          <w:sz w:val="22"/>
          <w:szCs w:val="22"/>
          <w:shd w:fill="auto" w:val="clear"/>
          <w:lang w:val="el-GR" w:eastAsia="en-US"/>
        </w:rPr>
        <w:t xml:space="preserve">ΔΙΑΚΗΡΥΞΗ Δ.03/2022 </w:t>
      </w:r>
      <w:r>
        <w:rPr>
          <w:rFonts w:eastAsia="Calibri" w:cs="Times New Roman"/>
          <w:b w:val="false"/>
          <w:bCs w:val="false"/>
          <w:color w:val="000000"/>
          <w:sz w:val="22"/>
          <w:szCs w:val="22"/>
          <w:shd w:fill="auto" w:val="clear"/>
          <w:lang w:val="el-GR" w:eastAsia="en-US"/>
        </w:rPr>
        <w:t xml:space="preserve"> ΑΝΟΙΚΤΟΥ ΔΙΕΘΝΟΥΣ ΔΙΑΓΩΝΙΣΜΟΥ ΑΝΩ ΤΩΝ ΟΡΙΩΝ  ΠΡΟΜΗΘΕΙΑΣ ΕΙΔΩΝ: </w:t>
      </w:r>
      <w:r>
        <w:rPr>
          <w:rFonts w:eastAsia="Calibri" w:cs="Times New Roman"/>
          <w:b w:val="false"/>
          <w:bCs w:val="false"/>
          <w:iCs/>
          <w:color w:val="000000"/>
          <w:sz w:val="22"/>
          <w:szCs w:val="22"/>
          <w:shd w:fill="auto" w:val="clear"/>
          <w:lang w:val="el-GR" w:eastAsia="en-US"/>
        </w:rPr>
        <w:t xml:space="preserve">«ΚΑΛΛΙΕΡΓΕΙΕΣ ΜΙΚΡΟΒΙΟΛΟΓΙΑΣ» ΜΕ ΤΑΥΤΟΧΡΟΝΗ ΔΩΡΕΑΝ ΠΑΡΑΧΩΡΗΣΗ ΣΥΝΟΔΟΥ ΕΞΟΠΛΙΣΜΟΥ </w:t>
      </w:r>
      <w:r>
        <w:rPr>
          <w:rFonts w:eastAsia="Calibri" w:cs="Times New Roman"/>
          <w:b w:val="false"/>
          <w:bCs w:val="false"/>
          <w:i w:val="false"/>
          <w:iCs/>
          <w:color w:val="000000"/>
          <w:sz w:val="22"/>
          <w:szCs w:val="22"/>
          <w:shd w:fill="auto" w:val="clear"/>
          <w:lang w:val="en-US" w:eastAsia="en-US"/>
        </w:rPr>
        <w:t>CPV</w:t>
      </w:r>
      <w:r>
        <w:rPr>
          <w:rFonts w:eastAsia="Calibri" w:cs="Times New Roman"/>
          <w:b w:val="false"/>
          <w:bCs w:val="false"/>
          <w:i w:val="false"/>
          <w:iCs/>
          <w:color w:val="000000"/>
          <w:sz w:val="22"/>
          <w:szCs w:val="22"/>
          <w:shd w:fill="auto" w:val="clear"/>
          <w:lang w:val="el-GR" w:eastAsia="en-US"/>
        </w:rPr>
        <w:t xml:space="preserve">   33698100-0, με ΑΔΑΜ: </w:t>
      </w:r>
      <w:r>
        <w:rPr>
          <w:rFonts w:eastAsia="Calibri" w:cs="Times New Roman"/>
          <w:b w:val="false"/>
          <w:bCs w:val="false"/>
          <w:i w:val="false"/>
          <w:iCs/>
          <w:strike w:val="false"/>
          <w:dstrike w:val="false"/>
          <w:outline w:val="false"/>
          <w:shadow w:val="false"/>
          <w:color w:val="000000"/>
          <w:sz w:val="22"/>
          <w:szCs w:val="22"/>
          <w:u w:val="none"/>
          <w:shd w:fill="auto" w:val="clear"/>
          <w:em w:val="none"/>
          <w:lang w:val="el-GR" w:eastAsia="en-US"/>
        </w:rPr>
        <w:t>22PROC010406100</w:t>
      </w:r>
    </w:p>
    <w:p>
      <w:pPr>
        <w:pStyle w:val="Normal"/>
        <w:numPr>
          <w:ilvl w:val="0"/>
          <w:numId w:val="7"/>
        </w:numPr>
        <w:suppressAutoHyphens w:val="true"/>
        <w:spacing w:before="0" w:after="120"/>
        <w:ind w:left="284" w:hanging="284"/>
        <w:jc w:val="both"/>
        <w:rPr>
          <w:rFonts w:ascii="Calibri" w:hAnsi="Calibri"/>
          <w:sz w:val="22"/>
          <w:szCs w:val="22"/>
        </w:rPr>
      </w:pPr>
      <w:r>
        <w:rPr>
          <w:rFonts w:eastAsia="Calibri" w:cs="Calibri" w:cstheme="minorHAnsi"/>
          <w:b w:val="false"/>
          <w:bCs w:val="false"/>
          <w:iCs/>
          <w:sz w:val="22"/>
          <w:szCs w:val="22"/>
          <w:shd w:fill="auto" w:val="clear"/>
          <w:lang w:val="en-US"/>
        </w:rPr>
        <w:t xml:space="preserve">την </w:t>
      </w:r>
      <w:r>
        <w:rPr>
          <w:rFonts w:eastAsia="Calibri" w:cs="Calibri" w:cstheme="minorHAnsi"/>
          <w:b w:val="false"/>
          <w:bCs w:val="false"/>
          <w:iCs/>
          <w:color w:val="000000"/>
          <w:kern w:val="2"/>
          <w:sz w:val="22"/>
          <w:szCs w:val="22"/>
          <w:shd w:fill="auto" w:val="clear"/>
          <w:lang w:val="en-US"/>
        </w:rPr>
        <w:t>υπ’ αριθμ. 17</w:t>
      </w:r>
      <w:r>
        <w:rPr>
          <w:rFonts w:eastAsia="Calibri" w:cs="Calibri" w:cstheme="minorHAnsi"/>
          <w:b w:val="false"/>
          <w:bCs w:val="false"/>
          <w:iCs/>
          <w:color w:val="000000"/>
          <w:kern w:val="2"/>
          <w:sz w:val="22"/>
          <w:szCs w:val="22"/>
          <w:shd w:fill="auto" w:val="clear"/>
          <w:vertAlign w:val="superscript"/>
          <w:lang w:val="en-US"/>
        </w:rPr>
        <w:t>ης</w:t>
      </w:r>
      <w:r>
        <w:rPr>
          <w:rFonts w:eastAsia="Calibri" w:cs="Calibri" w:cstheme="minorHAnsi"/>
          <w:b w:val="false"/>
          <w:bCs w:val="false"/>
          <w:iCs/>
          <w:color w:val="000000"/>
          <w:kern w:val="2"/>
          <w:sz w:val="22"/>
          <w:szCs w:val="22"/>
          <w:shd w:fill="auto" w:val="clear"/>
          <w:lang w:val="en-US"/>
        </w:rPr>
        <w:t>/22-07-2022 (θέμα 10</w:t>
      </w:r>
      <w:r>
        <w:rPr>
          <w:rFonts w:eastAsia="Calibri" w:cs="Calibri" w:cstheme="minorHAnsi"/>
          <w:b w:val="false"/>
          <w:bCs w:val="false"/>
          <w:iCs/>
          <w:color w:val="000000"/>
          <w:kern w:val="2"/>
          <w:sz w:val="22"/>
          <w:szCs w:val="22"/>
          <w:shd w:fill="auto" w:val="clear"/>
          <w:vertAlign w:val="superscript"/>
          <w:lang w:val="en-US"/>
        </w:rPr>
        <w:t>ο</w:t>
      </w:r>
      <w:r>
        <w:rPr>
          <w:rFonts w:eastAsia="Calibri" w:cs="Calibri" w:cstheme="minorHAnsi"/>
          <w:b w:val="false"/>
          <w:bCs w:val="false"/>
          <w:iCs/>
          <w:color w:val="000000"/>
          <w:kern w:val="2"/>
          <w:sz w:val="22"/>
          <w:szCs w:val="22"/>
          <w:shd w:fill="auto" w:val="clear"/>
          <w:lang w:val="en-US"/>
        </w:rPr>
        <w:t xml:space="preserve">) απόφαση Δ.Σ </w:t>
      </w:r>
      <w:r>
        <w:rPr>
          <w:rFonts w:eastAsia="Calibri" w:cs="Calibri" w:cstheme="minorHAnsi"/>
          <w:b w:val="false"/>
          <w:bCs w:val="false"/>
          <w:iCs/>
          <w:color w:val="000000"/>
          <w:kern w:val="2"/>
          <w:sz w:val="22"/>
          <w:szCs w:val="22"/>
          <w:shd w:fill="auto" w:val="clear"/>
          <w:lang w:val="el-GR"/>
        </w:rPr>
        <w:t>με θέμα: «</w:t>
      </w:r>
      <w:r>
        <w:rPr>
          <w:b w:val="false"/>
          <w:bCs w:val="false"/>
          <w:sz w:val="22"/>
          <w:szCs w:val="22"/>
        </w:rPr>
        <w:t xml:space="preserve">Εισήγηση έγκρισης πρακτικών Αποσφράγισης - αξιολόγησης Δικαιολογητικών Συμμετοχής &amp; Τεχνικών Προσφορών, Οικονομικών Προσφορών και Δικαιολογητικών Κατακύρωσης του Δημόσιου Διεθνή Διαγωνισμού προμήθειας ειδών:«ΚΑΛΛΙΕΡΓΕΙΕΣ ΜΙΚΡΟΒΙΟΛΟΓΙΑΣ» με ταυτόχρονη δωρεάν παραχώρηση συνοδού εξοπλισμού. CPV 33698100-0 Αρ.διακ. Δ.03/2022 με κριτήριο ανάθεσης την πλέον συμφέρουσα από οικονομική άποψη προσφορά βάσει βέλτιστης σχέσης ποιότητας – τιμής προϋπολογιζόμενης δαπάνης έως του ποσού των 280.968,13 € με ΦΠΑ. και συστημικούς αριθμούς στο ΕΣΗΔΗΣ 159248,1 -159262,1 -159266,1 – 159267,1 -159268,1 -159269,1 -159271,1» </w:t>
      </w:r>
    </w:p>
    <w:p>
      <w:pPr>
        <w:pStyle w:val="Normal"/>
        <w:numPr>
          <w:ilvl w:val="0"/>
          <w:numId w:val="7"/>
        </w:numPr>
        <w:suppressAutoHyphens w:val="true"/>
        <w:spacing w:before="0" w:after="120"/>
        <w:ind w:left="284" w:hanging="284"/>
        <w:jc w:val="both"/>
        <w:rPr>
          <w:rFonts w:ascii="Calibri" w:hAnsi="Calibri"/>
          <w:sz w:val="22"/>
          <w:szCs w:val="22"/>
        </w:rPr>
      </w:pPr>
      <w:r>
        <w:rPr>
          <w:rFonts w:eastAsia="Calibri" w:cs="Calibri" w:cstheme="minorHAnsi"/>
          <w:b w:val="false"/>
          <w:bCs w:val="false"/>
          <w:iCs/>
          <w:sz w:val="22"/>
          <w:szCs w:val="22"/>
          <w:shd w:fill="auto" w:val="clear"/>
        </w:rPr>
        <w:t xml:space="preserve">την </w:t>
      </w:r>
      <w:r>
        <w:rPr>
          <w:rFonts w:eastAsia="Calibri" w:cs="Calibri" w:cstheme="minorHAnsi"/>
          <w:b w:val="false"/>
          <w:bCs w:val="false"/>
          <w:iCs/>
          <w:color w:val="000000"/>
          <w:kern w:val="2"/>
          <w:sz w:val="22"/>
          <w:szCs w:val="22"/>
          <w:shd w:fill="auto" w:val="clear"/>
        </w:rPr>
        <w:t>υπ’ αριθμ. 24</w:t>
      </w:r>
      <w:r>
        <w:rPr>
          <w:rFonts w:eastAsia="Calibri" w:cs="Calibri" w:cstheme="minorHAnsi"/>
          <w:b w:val="false"/>
          <w:bCs w:val="false"/>
          <w:iCs/>
          <w:color w:val="000000"/>
          <w:kern w:val="2"/>
          <w:sz w:val="22"/>
          <w:szCs w:val="22"/>
          <w:shd w:fill="auto" w:val="clear"/>
          <w:vertAlign w:val="superscript"/>
        </w:rPr>
        <w:t>ης</w:t>
      </w:r>
      <w:r>
        <w:rPr>
          <w:rFonts w:eastAsia="Calibri" w:cs="Calibri" w:cstheme="minorHAnsi"/>
          <w:b w:val="false"/>
          <w:bCs w:val="false"/>
          <w:iCs/>
          <w:color w:val="000000"/>
          <w:kern w:val="2"/>
          <w:sz w:val="22"/>
          <w:szCs w:val="22"/>
          <w:shd w:fill="auto" w:val="clear"/>
        </w:rPr>
        <w:t>/17-11-2022 (θέμα 12</w:t>
      </w:r>
      <w:r>
        <w:rPr>
          <w:rFonts w:eastAsia="Calibri" w:cs="Calibri" w:cstheme="minorHAnsi"/>
          <w:b w:val="false"/>
          <w:bCs w:val="false"/>
          <w:iCs/>
          <w:color w:val="000000"/>
          <w:kern w:val="2"/>
          <w:sz w:val="22"/>
          <w:szCs w:val="22"/>
          <w:shd w:fill="auto" w:val="clear"/>
          <w:vertAlign w:val="superscript"/>
        </w:rPr>
        <w:t>ο</w:t>
      </w:r>
      <w:r>
        <w:rPr>
          <w:rFonts w:eastAsia="Calibri" w:cs="Calibri" w:cstheme="minorHAnsi"/>
          <w:b w:val="false"/>
          <w:bCs w:val="false"/>
          <w:iCs/>
          <w:color w:val="000000"/>
          <w:kern w:val="2"/>
          <w:sz w:val="22"/>
          <w:szCs w:val="22"/>
          <w:shd w:fill="auto" w:val="clear"/>
        </w:rPr>
        <w:t>) απόφαση Δ.Σ</w:t>
      </w:r>
      <w:r>
        <w:rPr>
          <w:rFonts w:eastAsia="Calibri" w:cs="Calibri" w:cstheme="minorHAnsi"/>
          <w:iCs/>
          <w:color w:val="000000"/>
          <w:kern w:val="2"/>
          <w:sz w:val="22"/>
          <w:szCs w:val="22"/>
          <w:shd w:fill="auto" w:val="clear"/>
        </w:rPr>
        <w:t xml:space="preserve">: </w:t>
      </w:r>
      <w:r>
        <w:rPr>
          <w:rFonts w:eastAsia="Calibri" w:cs="Calibri" w:cstheme="minorHAnsi"/>
          <w:iCs/>
          <w:color w:val="000000"/>
          <w:kern w:val="2"/>
          <w:sz w:val="22"/>
          <w:szCs w:val="22"/>
          <w:shd w:fill="auto" w:val="clear"/>
          <w:lang w:bidi="ar-SA"/>
        </w:rPr>
        <w:t xml:space="preserve">«Εισήγηση έγκρισης διενέργειας Απευθείας Ανάθεσης των τμημάτων 4, 5 και 6 του Δημόσιου Ηλεκτρονικού διαγωνισμού Δ.03/2022 για την προμήθεια ειδών: «ΚΑΛΛΙΕΡΓΕΙΕΣ ΜΙΚΡΟΒΙΟΛΟΓΙΑΣ» με ταυτόχρονη δωρεάν παραχώρηση συνοδού εξοπλισμού, CPV 33698100-0, που έχουν κηρυχθεί άγονοι, προϋπολογιζόμενης δαπάνης έως του ποσού των: Τμήμα 4) 2.000,00 €, Τμήμα 5) 19.171,20 € και Τμήμα 6) 6.420,00 € </w:t>
      </w:r>
      <w:r>
        <w:rPr>
          <w:rFonts w:eastAsia="Calibri" w:cs="Calibri" w:cstheme="minorHAnsi"/>
          <w:iCs/>
          <w:color w:val="000000"/>
          <w:kern w:val="0"/>
          <w:sz w:val="22"/>
          <w:szCs w:val="22"/>
          <w:shd w:fill="auto" w:val="clear"/>
          <w:lang w:bidi="ar-SA"/>
        </w:rPr>
        <w:t xml:space="preserve">» </w:t>
      </w:r>
      <w:r>
        <w:rPr>
          <w:rFonts w:eastAsia="Calibri" w:cs="Calibri" w:cstheme="minorHAnsi"/>
          <w:b w:val="false"/>
          <w:bCs w:val="false"/>
          <w:iCs/>
          <w:color w:val="000000"/>
          <w:kern w:val="0"/>
          <w:sz w:val="22"/>
          <w:szCs w:val="22"/>
          <w:shd w:fill="auto" w:val="clear"/>
          <w:lang w:bidi="ar-SA"/>
        </w:rPr>
        <w:t>,</w:t>
      </w:r>
    </w:p>
    <w:p>
      <w:pPr>
        <w:pStyle w:val="Normal"/>
        <w:numPr>
          <w:ilvl w:val="0"/>
          <w:numId w:val="7"/>
        </w:numPr>
        <w:suppressAutoHyphens w:val="true"/>
        <w:spacing w:before="0" w:after="120"/>
        <w:ind w:left="284" w:hanging="284"/>
        <w:jc w:val="both"/>
        <w:rPr>
          <w:rFonts w:ascii="Calibri" w:hAnsi="Calibri"/>
          <w:sz w:val="22"/>
          <w:szCs w:val="22"/>
        </w:rPr>
      </w:pPr>
      <w:r>
        <w:rPr>
          <w:rFonts w:eastAsia="Calibri" w:cs="Calibri" w:cstheme="minorHAnsi"/>
          <w:b w:val="false"/>
          <w:bCs w:val="false"/>
          <w:iCs/>
          <w:color w:val="000000"/>
          <w:kern w:val="0"/>
          <w:sz w:val="22"/>
          <w:szCs w:val="22"/>
          <w:shd w:fill="auto" w:val="clear"/>
          <w:lang w:bidi="ar-SA"/>
        </w:rPr>
        <w:t xml:space="preserve">την </w:t>
      </w:r>
      <w:r>
        <w:rPr>
          <w:rFonts w:eastAsia="Calibri" w:cs="Calibri" w:cstheme="minorHAnsi"/>
          <w:b w:val="false"/>
          <w:bCs w:val="false"/>
          <w:iCs/>
          <w:color w:val="000000"/>
          <w:kern w:val="2"/>
          <w:sz w:val="22"/>
          <w:szCs w:val="22"/>
          <w:shd w:fill="auto" w:val="clear"/>
          <w:lang w:bidi="ar-SA"/>
        </w:rPr>
        <w:t>υπ’ αριθμ. 2</w:t>
      </w:r>
      <w:r>
        <w:rPr>
          <w:rFonts w:eastAsia="Calibri" w:cs="Calibri" w:cstheme="minorHAnsi"/>
          <w:b w:val="false"/>
          <w:bCs w:val="false"/>
          <w:iCs/>
          <w:color w:val="000000"/>
          <w:kern w:val="2"/>
          <w:sz w:val="22"/>
          <w:szCs w:val="22"/>
          <w:shd w:fill="auto" w:val="clear"/>
          <w:vertAlign w:val="superscript"/>
          <w:lang w:bidi="ar-SA"/>
        </w:rPr>
        <w:t>ης</w:t>
      </w:r>
      <w:r>
        <w:rPr>
          <w:rFonts w:eastAsia="Calibri" w:cs="Calibri" w:cstheme="minorHAnsi"/>
          <w:b w:val="false"/>
          <w:bCs w:val="false"/>
          <w:iCs/>
          <w:color w:val="000000"/>
          <w:kern w:val="2"/>
          <w:sz w:val="22"/>
          <w:szCs w:val="22"/>
          <w:shd w:fill="auto" w:val="clear"/>
          <w:lang w:bidi="ar-SA"/>
        </w:rPr>
        <w:t>/16-01-2023 (θέμα 22</w:t>
      </w:r>
      <w:r>
        <w:rPr>
          <w:rFonts w:eastAsia="Calibri" w:cs="Calibri" w:cstheme="minorHAnsi"/>
          <w:b w:val="false"/>
          <w:bCs w:val="false"/>
          <w:iCs/>
          <w:color w:val="000000"/>
          <w:kern w:val="2"/>
          <w:sz w:val="22"/>
          <w:szCs w:val="22"/>
          <w:shd w:fill="auto" w:val="clear"/>
          <w:vertAlign w:val="superscript"/>
          <w:lang w:bidi="ar-SA"/>
        </w:rPr>
        <w:t>ο</w:t>
      </w:r>
      <w:r>
        <w:rPr>
          <w:rFonts w:eastAsia="Calibri" w:cs="Calibri" w:cstheme="minorHAnsi"/>
          <w:b w:val="false"/>
          <w:bCs w:val="false"/>
          <w:iCs/>
          <w:color w:val="000000"/>
          <w:kern w:val="2"/>
          <w:sz w:val="22"/>
          <w:szCs w:val="22"/>
          <w:shd w:fill="auto" w:val="clear"/>
          <w:lang w:bidi="ar-SA"/>
        </w:rPr>
        <w:t xml:space="preserve">) απόφαση Δ.Σ: «Έγκριση πρακτικού σύνταξης τεχνικών προδιαγραφών για την προμήθεια ειδών «ΚΑΛΛΙΕΡΓΕΙΕΣ ΜΙΚΡΟΒΙΟΛΟΓΙΑΣ» με ταυτόχρονη παραχώρηση συνοδού εξοπλισμού CPV 33698100-0 των τμημάτων 4, 5 και 6 του Δημόσιου Ηλεκτρονικού Διαγωνισμού Δ.03/2022 που έχουν κηρυχθεί άγονοι ,προϋπολογιζόμενης δαπάνης έως του ποσού των: Τμήμα 4) 2.000,00€, Τμήμα 5) 19.171,20€ και Τμήμα 6) 6.420,00€,» </w:t>
      </w:r>
    </w:p>
    <w:p>
      <w:pPr>
        <w:pStyle w:val="Normal"/>
        <w:numPr>
          <w:ilvl w:val="0"/>
          <w:numId w:val="7"/>
        </w:numPr>
        <w:suppressAutoHyphens w:val="true"/>
        <w:spacing w:before="0" w:after="120"/>
        <w:ind w:left="284" w:hanging="284"/>
        <w:jc w:val="both"/>
        <w:rPr>
          <w:rFonts w:ascii="Calibri" w:hAnsi="Calibri"/>
          <w:sz w:val="22"/>
          <w:szCs w:val="22"/>
        </w:rPr>
      </w:pPr>
      <w:r>
        <w:rPr>
          <w:rFonts w:cs="Calibri" w:cstheme="minorHAnsi"/>
          <w:sz w:val="22"/>
          <w:szCs w:val="22"/>
          <w:shd w:fill="auto" w:val="clear"/>
          <w:lang w:eastAsia="el-GR"/>
        </w:rPr>
        <w:t xml:space="preserve">την υπ’ αριθμ. </w:t>
      </w:r>
      <w:r>
        <w:rPr>
          <w:rFonts w:cs="Calibri" w:cstheme="minorHAnsi"/>
          <w:sz w:val="22"/>
          <w:szCs w:val="22"/>
          <w:shd w:fill="auto" w:val="clear"/>
          <w:lang w:eastAsia="el-GR"/>
        </w:rPr>
        <w:t>Πρωτ.</w:t>
      </w:r>
      <w:r>
        <w:rPr>
          <w:rFonts w:cs="Calibri" w:cstheme="minorHAnsi"/>
          <w:sz w:val="22"/>
          <w:szCs w:val="22"/>
          <w:shd w:fill="auto" w:val="clear"/>
          <w:lang w:val="en-US" w:eastAsia="el-GR"/>
        </w:rPr>
        <w:t xml:space="preserve"> </w:t>
      </w:r>
      <w:r>
        <w:rPr>
          <w:rFonts w:cs="Calibri" w:cstheme="minorHAnsi"/>
          <w:sz w:val="22"/>
          <w:szCs w:val="22"/>
          <w:shd w:fill="auto" w:val="clear"/>
          <w:lang w:val="en-US" w:eastAsia="el-GR"/>
        </w:rPr>
        <w:t>2490</w:t>
      </w:r>
      <w:r>
        <w:rPr>
          <w:rFonts w:cs="Calibri" w:cstheme="minorHAnsi"/>
          <w:sz w:val="22"/>
          <w:szCs w:val="22"/>
          <w:shd w:fill="auto" w:val="clear"/>
          <w:lang w:val="el-GR" w:eastAsia="el-GR"/>
        </w:rPr>
        <w:t>/</w:t>
      </w:r>
      <w:r>
        <w:rPr>
          <w:rFonts w:cs="Calibri" w:cstheme="minorHAnsi"/>
          <w:sz w:val="22"/>
          <w:szCs w:val="22"/>
          <w:shd w:fill="auto" w:val="clear"/>
          <w:lang w:val="el-GR" w:eastAsia="el-GR"/>
        </w:rPr>
        <w:t>08-02-2023</w:t>
      </w:r>
      <w:r>
        <w:rPr>
          <w:rFonts w:cs="Calibri" w:cstheme="minorHAnsi"/>
          <w:sz w:val="22"/>
          <w:szCs w:val="22"/>
          <w:shd w:fill="auto" w:val="clear"/>
          <w:lang w:val="el-GR" w:eastAsia="el-GR"/>
        </w:rPr>
        <w:t xml:space="preserve"> </w:t>
      </w:r>
      <w:r>
        <w:rPr>
          <w:rFonts w:cs="Calibri" w:cstheme="minorHAnsi"/>
          <w:sz w:val="22"/>
          <w:szCs w:val="22"/>
          <w:shd w:fill="auto" w:val="clear"/>
        </w:rPr>
        <w:t>Α</w:t>
      </w:r>
      <w:r>
        <w:rPr>
          <w:rFonts w:cs="Calibri" w:cstheme="minorHAnsi"/>
          <w:sz w:val="22"/>
          <w:szCs w:val="22"/>
          <w:shd w:fill="auto" w:val="clear"/>
        </w:rPr>
        <w:t xml:space="preserve">πόφαση έγκρισης ανάληψης πολυετούς υποχρέωσης </w:t>
      </w:r>
      <w:r>
        <w:rPr>
          <w:rFonts w:cs="Calibri" w:cstheme="minorHAnsi"/>
          <w:sz w:val="22"/>
          <w:szCs w:val="22"/>
          <w:shd w:fill="auto" w:val="clear"/>
        </w:rPr>
        <w:t>(Α.Δ.Α.:</w:t>
      </w:r>
      <w:r>
        <w:rPr>
          <w:rFonts w:cs="Calibri" w:cstheme="minorHAnsi"/>
          <w:sz w:val="22"/>
          <w:szCs w:val="22"/>
          <w:shd w:fill="FFFF00" w:val="clear"/>
        </w:rPr>
        <w:t xml:space="preserve"> </w:t>
      </w:r>
      <w:r>
        <w:rPr>
          <w:rFonts w:cs="Calibri" w:cstheme="minorHAnsi"/>
          <w:sz w:val="22"/>
          <w:szCs w:val="22"/>
          <w:shd w:fill="auto" w:val="clear"/>
        </w:rPr>
        <w:t>Ψ0Ω0469071-ΕΗΤ</w:t>
      </w:r>
      <w:r>
        <w:rPr>
          <w:rFonts w:cs="Calibri" w:cstheme="minorHAnsi"/>
          <w:sz w:val="22"/>
          <w:szCs w:val="22"/>
          <w:shd w:fill="auto" w:val="clear"/>
        </w:rPr>
        <w:t>)</w:t>
      </w:r>
      <w:r>
        <w:rPr>
          <w:rFonts w:cs="Calibri" w:cstheme="minorHAnsi"/>
          <w:sz w:val="22"/>
          <w:szCs w:val="22"/>
          <w:shd w:fill="auto" w:val="clear"/>
          <w:lang w:eastAsia="el-GR"/>
        </w:rPr>
        <w:t xml:space="preserve">, </w:t>
      </w:r>
      <w:r>
        <w:rPr>
          <w:rFonts w:cs="Calibri" w:cstheme="minorHAnsi"/>
          <w:sz w:val="22"/>
          <w:szCs w:val="22"/>
          <w:shd w:fill="auto" w:val="clear"/>
          <w:lang w:eastAsia="el-GR"/>
        </w:rPr>
        <w:t xml:space="preserve">η οποία καταχωρήθηκε με αύξοντα αριθμό πράξης </w:t>
      </w:r>
      <w:r>
        <w:rPr>
          <w:rFonts w:cs="Calibri" w:cstheme="minorHAnsi"/>
          <w:sz w:val="22"/>
          <w:szCs w:val="22"/>
          <w:shd w:fill="auto" w:val="clear"/>
          <w:lang w:eastAsia="el-GR"/>
        </w:rPr>
        <w:t xml:space="preserve">290/2023 </w:t>
      </w:r>
      <w:r>
        <w:rPr>
          <w:rFonts w:cs="Calibri" w:cstheme="minorHAnsi"/>
          <w:sz w:val="22"/>
          <w:szCs w:val="22"/>
          <w:shd w:fill="auto" w:val="clear"/>
          <w:lang w:eastAsia="el-GR"/>
        </w:rPr>
        <w:t>στο Βιβλίο Εγκρίσεων και Εντολών Πληρωμής της Υπηρεσίας μας.</w:t>
      </w:r>
    </w:p>
    <w:p>
      <w:pPr>
        <w:pStyle w:val="Normal"/>
        <w:suppressAutoHyphens w:val="true"/>
        <w:spacing w:before="0" w:after="120"/>
        <w:jc w:val="both"/>
        <w:rPr>
          <w:rFonts w:ascii="Calibri" w:hAnsi="Calibri"/>
          <w:sz w:val="22"/>
          <w:szCs w:val="22"/>
        </w:rPr>
      </w:pPr>
      <w:r>
        <w:rPr>
          <w:sz w:val="22"/>
          <w:szCs w:val="22"/>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pPr>
        <w:pStyle w:val="Normal"/>
        <w:spacing w:lineRule="auto" w:line="240"/>
        <w:rPr>
          <w:rFonts w:ascii="Calibri" w:hAnsi="Calibri"/>
          <w:sz w:val="22"/>
          <w:szCs w:val="22"/>
        </w:rPr>
      </w:pPr>
      <w:r>
        <w:rPr>
          <w:rFonts w:cs="Calibri" w:cstheme="minorHAnsi"/>
          <w:b/>
          <w:bCs/>
          <w:sz w:val="22"/>
          <w:szCs w:val="22"/>
        </w:rPr>
        <w:t xml:space="preserve">1. Αντικείμενο </w:t>
      </w:r>
      <w:r>
        <w:rPr>
          <w:rFonts w:cs="Calibri" w:cstheme="minorHAnsi"/>
          <w:b/>
          <w:color w:val="000000"/>
          <w:sz w:val="22"/>
          <w:szCs w:val="22"/>
        </w:rPr>
        <w:t xml:space="preserve">σύμβασης </w:t>
      </w:r>
      <w:r>
        <w:rPr>
          <w:rFonts w:cs="Calibri" w:cstheme="minorHAnsi"/>
          <w:b/>
          <w:bCs/>
          <w:sz w:val="22"/>
          <w:szCs w:val="22"/>
        </w:rPr>
        <w:t>και προϋπολογισμός</w:t>
      </w:r>
    </w:p>
    <w:p>
      <w:pPr>
        <w:pStyle w:val="Normal"/>
        <w:spacing w:lineRule="auto" w:line="240" w:before="0" w:after="0"/>
        <w:jc w:val="both"/>
        <w:rPr>
          <w:rFonts w:ascii="Calibri" w:hAnsi="Calibri"/>
          <w:sz w:val="22"/>
          <w:szCs w:val="22"/>
        </w:rPr>
      </w:pPr>
      <w:r>
        <w:rPr>
          <w:rFonts w:cs="Calibri" w:cstheme="minorHAnsi"/>
          <w:b/>
          <w:sz w:val="22"/>
          <w:szCs w:val="22"/>
          <w:u w:val="single"/>
        </w:rPr>
        <w:t xml:space="preserve">1.1. Αντικείμενο </w:t>
      </w:r>
      <w:r>
        <w:rPr>
          <w:rFonts w:cs="Calibri" w:cstheme="minorHAnsi"/>
          <w:b/>
          <w:color w:val="000000"/>
          <w:sz w:val="22"/>
          <w:szCs w:val="22"/>
          <w:u w:val="single"/>
        </w:rPr>
        <w:t>της σύμβασης</w:t>
      </w:r>
    </w:p>
    <w:p>
      <w:pPr>
        <w:pStyle w:val="Normal"/>
        <w:tabs>
          <w:tab w:val="clear" w:pos="720"/>
          <w:tab w:val="left" w:pos="851" w:leader="none"/>
          <w:tab w:val="left" w:pos="1134" w:leader="none"/>
        </w:tabs>
        <w:spacing w:before="0" w:after="240"/>
        <w:jc w:val="both"/>
        <w:rPr/>
      </w:pPr>
      <w:r>
        <w:rPr>
          <w:rFonts w:cs="Calibri" w:cstheme="minorHAnsi"/>
          <w:color w:val="000000"/>
          <w:sz w:val="22"/>
          <w:szCs w:val="22"/>
        </w:rPr>
        <w:t>Αντικείμενο της σύμβασης αποτελεί η ανάδειξη αναδόχου για την προμήθεια των ειδών:</w:t>
      </w:r>
      <w:r>
        <w:rPr>
          <w:rFonts w:cs="Calibri" w:cstheme="minorHAnsi"/>
          <w:bCs/>
          <w:color w:val="000000"/>
          <w:sz w:val="22"/>
          <w:szCs w:val="22"/>
        </w:rPr>
        <w:t xml:space="preserve"> Τμήμα </w:t>
      </w:r>
      <w:r>
        <w:rPr>
          <w:rFonts w:cs="Calibri" w:cstheme="minorHAnsi"/>
          <w:b w:val="false"/>
          <w:bCs w:val="false"/>
          <w:color w:val="000000"/>
          <w:sz w:val="22"/>
          <w:szCs w:val="22"/>
        </w:rPr>
        <w:t>1</w:t>
      </w:r>
      <w:r>
        <w:rPr>
          <w:rFonts w:cs="Calibri" w:cstheme="minorHAnsi"/>
          <w:b w:val="false"/>
          <w:bCs w:val="false"/>
          <w:color w:val="000000"/>
          <w:sz w:val="22"/>
          <w:szCs w:val="22"/>
          <w:u w:val="none"/>
        </w:rPr>
        <w:t xml:space="preserve">) </w:t>
      </w:r>
      <w:r>
        <w:rPr>
          <w:rFonts w:cs="Calibri" w:cstheme="minorHAnsi"/>
          <w:b w:val="false"/>
          <w:bCs w:val="false"/>
          <w:i w:val="false"/>
          <w:strike w:val="false"/>
          <w:dstrike w:val="false"/>
          <w:outline w:val="false"/>
          <w:shadow w:val="false"/>
          <w:color w:val="000000"/>
          <w:sz w:val="22"/>
          <w:szCs w:val="22"/>
          <w:u w:val="none"/>
          <w:em w:val="none"/>
        </w:rPr>
        <w:t xml:space="preserve">ΑΝΑΛΥΤΗΣ ΟΥΡΩΝ ΕΦΗΜΕΡΕΙΟ </w:t>
      </w:r>
      <w:r>
        <w:rPr>
          <w:rFonts w:cs="Calibri"/>
          <w:b w:val="false"/>
          <w:bCs w:val="false"/>
          <w:i w:val="false"/>
          <w:strike w:val="false"/>
          <w:dstrike w:val="false"/>
          <w:outline w:val="false"/>
          <w:shadow w:val="false"/>
          <w:color w:val="000000"/>
          <w:sz w:val="22"/>
          <w:szCs w:val="22"/>
          <w:u w:val="non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non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none"/>
          <w:em w:val="none"/>
        </w:rPr>
        <w:t xml:space="preserve">συνοδό εξοπλισμό), </w:t>
      </w:r>
      <w:r>
        <w:rPr>
          <w:rFonts w:cs="Calibri" w:cstheme="minorHAnsi"/>
          <w:b w:val="false"/>
          <w:bCs/>
          <w:i w:val="false"/>
          <w:strike w:val="false"/>
          <w:dstrike w:val="false"/>
          <w:outline w:val="false"/>
          <w:shadow w:val="false"/>
          <w:color w:val="000000"/>
          <w:sz w:val="22"/>
          <w:szCs w:val="22"/>
          <w:u w:val="none"/>
          <w:em w:val="none"/>
        </w:rPr>
        <w:t xml:space="preserve">Τμήμα </w:t>
      </w:r>
      <w:r>
        <w:rPr>
          <w:rFonts w:cs="Calibri"/>
          <w:b w:val="false"/>
          <w:bCs w:val="false"/>
          <w:i w:val="false"/>
          <w:strike w:val="false"/>
          <w:dstrike w:val="false"/>
          <w:outline w:val="false"/>
          <w:shadow w:val="false"/>
          <w:color w:val="000000"/>
          <w:sz w:val="22"/>
          <w:szCs w:val="22"/>
          <w:u w:val="none"/>
          <w:em w:val="none"/>
        </w:rPr>
        <w:t>2</w:t>
      </w:r>
      <w:r>
        <w:rPr>
          <w:rFonts w:cs="Calibri" w:cstheme="minorHAnsi"/>
          <w:b w:val="false"/>
          <w:bCs w:val="false"/>
          <w:i w:val="false"/>
          <w:strike w:val="false"/>
          <w:dstrike w:val="false"/>
          <w:outline w:val="false"/>
          <w:shadow w:val="false"/>
          <w:color w:val="000000"/>
          <w:sz w:val="22"/>
          <w:szCs w:val="22"/>
          <w:u w:val="none"/>
          <w:em w:val="none"/>
        </w:rPr>
        <w:t>) ΑΝΟΣΟΕΝΖΥΜΙΚΟΣ ΑΝΑΛΥΤΗΣ ΤΕΧΝΙΚΗ ELISA</w:t>
      </w:r>
      <w:r>
        <w:rPr>
          <w:rFonts w:cs="Calibri"/>
          <w:b w:val="false"/>
          <w:bCs w:val="false"/>
          <w:i w:val="false"/>
          <w:strike w:val="false"/>
          <w:dstrike w:val="false"/>
          <w:outline w:val="false"/>
          <w:shadow w:val="false"/>
          <w:color w:val="000000"/>
          <w:sz w:val="22"/>
          <w:szCs w:val="22"/>
          <w:u w:val="non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non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none"/>
          <w:em w:val="none"/>
        </w:rPr>
        <w:t>συνοδό εξοπλισμό) και</w:t>
      </w:r>
      <w:r>
        <w:rPr>
          <w:rFonts w:cs="Calibri" w:cstheme="minorHAnsi"/>
          <w:b w:val="false"/>
          <w:bCs w:val="false"/>
          <w:i w:val="false"/>
          <w:strike w:val="false"/>
          <w:dstrike w:val="false"/>
          <w:outline w:val="false"/>
          <w:shadow w:val="false"/>
          <w:color w:val="000000"/>
          <w:sz w:val="22"/>
          <w:szCs w:val="22"/>
          <w:u w:val="none"/>
          <w:em w:val="none"/>
        </w:rPr>
        <w:t xml:space="preserve"> </w:t>
      </w:r>
      <w:r>
        <w:rPr>
          <w:rFonts w:cs="Calibri" w:cstheme="minorHAnsi"/>
          <w:b w:val="false"/>
          <w:bCs/>
          <w:i w:val="false"/>
          <w:strike w:val="false"/>
          <w:dstrike w:val="false"/>
          <w:outline w:val="false"/>
          <w:shadow w:val="false"/>
          <w:color w:val="000000"/>
          <w:sz w:val="22"/>
          <w:szCs w:val="22"/>
          <w:u w:val="none"/>
          <w:em w:val="none"/>
        </w:rPr>
        <w:t xml:space="preserve">Τμήμα </w:t>
      </w:r>
      <w:r>
        <w:rPr>
          <w:rFonts w:cs="Calibri" w:cstheme="minorHAnsi"/>
          <w:b w:val="false"/>
          <w:bCs w:val="false"/>
          <w:i w:val="false"/>
          <w:strike w:val="false"/>
          <w:dstrike w:val="false"/>
          <w:outline w:val="false"/>
          <w:shadow w:val="false"/>
          <w:color w:val="000000"/>
          <w:sz w:val="22"/>
          <w:szCs w:val="22"/>
          <w:u w:val="none"/>
          <w:em w:val="none"/>
        </w:rPr>
        <w:t>3)</w:t>
      </w:r>
      <w:r>
        <w:rPr>
          <w:rFonts w:cs="Calibri" w:cstheme="minorHAnsi"/>
          <w:b w:val="false"/>
          <w:bCs w:val="false"/>
          <w:i w:val="false"/>
          <w:strike w:val="false"/>
          <w:dstrike w:val="false"/>
          <w:outline w:val="false"/>
          <w:shadow w:val="false"/>
          <w:color w:val="000000"/>
          <w:sz w:val="22"/>
          <w:szCs w:val="22"/>
          <w:u w:val="none"/>
          <w:shd w:fill="auto" w:val="clear"/>
          <w:em w:val="none"/>
          <w:lang w:val="el-GR" w:eastAsia="en-US"/>
        </w:rPr>
        <w:t xml:space="preserve"> Σ</w:t>
      </w:r>
      <w:r>
        <w:rPr>
          <w:rFonts w:cs="Calibri" w:cstheme="minorHAnsi"/>
          <w:b w:val="false"/>
          <w:bCs w:val="false"/>
          <w:i w:val="false"/>
          <w:strike w:val="false"/>
          <w:dstrike w:val="false"/>
          <w:outline w:val="false"/>
          <w:shadow w:val="false"/>
          <w:color w:val="000000"/>
          <w:sz w:val="22"/>
          <w:szCs w:val="22"/>
          <w:u w:val="none"/>
          <w:shd w:fill="auto" w:val="clear"/>
          <w:em w:val="none"/>
        </w:rPr>
        <w:t>ΥΣΤΗΜΑ ΗΛΕΚΤΡΟΦΟΡΗΣΗΣ-ΑΝΟΣΟΚΑΘΗΛΩΣΗΣ</w:t>
      </w:r>
      <w:r>
        <w:rPr>
          <w:rFonts w:cs="Calibri"/>
          <w:b w:val="false"/>
          <w:bCs w:val="false"/>
          <w:i w:val="false"/>
          <w:strike w:val="false"/>
          <w:dstrike w:val="false"/>
          <w:outline w:val="false"/>
          <w:shadow w:val="false"/>
          <w:color w:val="000000"/>
          <w:sz w:val="22"/>
          <w:szCs w:val="22"/>
          <w:u w:val="none"/>
          <w:shd w:fill="auto" w:val="clear"/>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non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none"/>
          <w:shd w:fill="auto" w:val="clear"/>
          <w:em w:val="none"/>
        </w:rPr>
        <w:t>συνοδό εξοπλισμό)</w:t>
      </w:r>
      <w:r>
        <w:rPr>
          <w:rFonts w:cs="Calibri" w:cstheme="minorHAnsi"/>
          <w:b w:val="false"/>
          <w:bCs w:val="false"/>
          <w:i w:val="false"/>
          <w:strike w:val="false"/>
          <w:dstrike w:val="false"/>
          <w:outline w:val="false"/>
          <w:shadow w:val="false"/>
          <w:color w:val="000000"/>
          <w:sz w:val="22"/>
          <w:szCs w:val="22"/>
          <w:u w:val="none"/>
          <w:shd w:fill="auto" w:val="clear"/>
          <w:em w:val="none"/>
        </w:rPr>
        <w:t xml:space="preserve"> </w:t>
      </w:r>
      <w:r>
        <w:rPr>
          <w:rStyle w:val="Fontstyle01"/>
          <w:rFonts w:cs="Calibri" w:cstheme="minorHAnsi"/>
          <w:b w:val="false"/>
          <w:bCs w:val="false"/>
          <w:sz w:val="22"/>
          <w:szCs w:val="22"/>
          <w:u w:val="none"/>
        </w:rPr>
        <w:t>και τους όρους της παρούσας.</w:t>
      </w:r>
    </w:p>
    <w:p>
      <w:pPr>
        <w:pStyle w:val="Normal"/>
        <w:tabs>
          <w:tab w:val="clear" w:pos="720"/>
          <w:tab w:val="left" w:pos="851" w:leader="none"/>
          <w:tab w:val="left" w:pos="1134" w:leader="none"/>
        </w:tabs>
        <w:spacing w:before="0" w:after="240"/>
        <w:jc w:val="both"/>
        <w:rPr>
          <w:rFonts w:ascii="Calibri" w:hAnsi="Calibri"/>
          <w:sz w:val="22"/>
          <w:szCs w:val="22"/>
        </w:rPr>
      </w:pPr>
      <w:r>
        <w:rPr>
          <w:rFonts w:cs="Calibri" w:cstheme="minorHAnsi"/>
          <w:sz w:val="22"/>
          <w:szCs w:val="22"/>
        </w:rPr>
        <w:t xml:space="preserve">Οι παρεχόμενες υπηρεσίες κατατάσσονται στον ακόλουθο κωδικό του Κοινού Λεξιλογίου δημοσίων συμβάσεων </w:t>
      </w:r>
      <w:r>
        <w:rPr>
          <w:rFonts w:cs="Calibri" w:cstheme="minorHAnsi"/>
          <w:sz w:val="22"/>
          <w:szCs w:val="22"/>
          <w:shd w:fill="auto" w:val="clear"/>
        </w:rPr>
        <w:t xml:space="preserve">CPV </w:t>
      </w:r>
      <w:r>
        <w:rPr>
          <w:rFonts w:cs="Calibri"/>
          <w:sz w:val="22"/>
          <w:szCs w:val="22"/>
          <w:shd w:fill="auto" w:val="clear"/>
          <w:lang w:val="en-US"/>
        </w:rPr>
        <w:t xml:space="preserve">33698100-0 </w:t>
      </w:r>
    </w:p>
    <w:p>
      <w:pPr>
        <w:pStyle w:val="Normal"/>
        <w:jc w:val="both"/>
        <w:rPr>
          <w:rFonts w:ascii="Calibri" w:hAnsi="Calibri"/>
          <w:sz w:val="22"/>
          <w:szCs w:val="22"/>
        </w:rPr>
      </w:pPr>
      <w:r>
        <w:rPr>
          <w:sz w:val="22"/>
          <w:szCs w:val="22"/>
        </w:rPr>
        <w:t xml:space="preserve">Σημειώνεται ότι οι υπό αναθέσεις συμβάσεις της παρούσας Πρόσκλησης </w:t>
      </w:r>
      <w:r>
        <w:rPr>
          <w:rFonts w:eastAsia="Times New Roman" w:cs="Calibri" w:cstheme="minorHAnsi"/>
          <w:sz w:val="22"/>
          <w:szCs w:val="22"/>
          <w:lang w:eastAsia="el-GR"/>
        </w:rPr>
        <w:t xml:space="preserve">αποτέλουν </w:t>
      </w:r>
      <w:r>
        <w:rPr>
          <w:sz w:val="22"/>
          <w:szCs w:val="22"/>
        </w:rPr>
        <w:t>τμήματα</w:t>
      </w:r>
      <w:r>
        <w:rPr>
          <w:rFonts w:eastAsia="Calibri" w:cs="Calibri"/>
          <w:bCs/>
          <w:sz w:val="22"/>
          <w:szCs w:val="22"/>
        </w:rPr>
        <w:t xml:space="preserve"> </w:t>
      </w:r>
      <w:r>
        <w:rPr>
          <w:rFonts w:eastAsia="Times New Roman" w:cs="Calibri" w:cstheme="minorHAnsi"/>
          <w:sz w:val="22"/>
          <w:szCs w:val="22"/>
          <w:lang w:eastAsia="el-GR"/>
        </w:rPr>
        <w:t xml:space="preserve">(α/α 4,5,6) </w:t>
      </w:r>
      <w:r>
        <w:rPr>
          <w:rFonts w:eastAsia="Calibri" w:cs="Calibri"/>
          <w:bCs/>
          <w:sz w:val="22"/>
          <w:szCs w:val="22"/>
        </w:rPr>
        <w:t>του υπ’αρ.</w:t>
      </w:r>
      <w:r>
        <w:rPr>
          <w:rFonts w:eastAsia="Calibri" w:cs="Calibri"/>
          <w:bCs/>
          <w:i/>
          <w:sz w:val="22"/>
          <w:szCs w:val="22"/>
        </w:rPr>
        <w:t xml:space="preserve"> </w:t>
      </w:r>
      <w:r>
        <w:rPr>
          <w:rFonts w:eastAsia="Calibri" w:cs="Times New Roman"/>
          <w:b/>
          <w:bCs/>
          <w:i w:val="false"/>
          <w:iCs w:val="false"/>
          <w:color w:val="000000"/>
          <w:sz w:val="22"/>
          <w:szCs w:val="22"/>
          <w:shd w:fill="auto" w:val="clear"/>
          <w:lang w:val="el-GR" w:eastAsia="en-US"/>
        </w:rPr>
        <w:t>Δ.03/2022</w:t>
      </w:r>
      <w:r>
        <w:rPr>
          <w:rFonts w:eastAsia="Calibri" w:cs="Calibri"/>
          <w:b/>
          <w:bCs/>
          <w:i w:val="false"/>
          <w:iCs w:val="false"/>
          <w:sz w:val="22"/>
          <w:szCs w:val="22"/>
        </w:rPr>
        <w:t xml:space="preserve"> </w:t>
      </w:r>
      <w:r>
        <w:rPr>
          <w:rFonts w:eastAsia="Times New Roman" w:cs="Calibri" w:cstheme="minorHAnsi"/>
          <w:sz w:val="22"/>
          <w:szCs w:val="22"/>
          <w:lang w:eastAsia="el-GR"/>
        </w:rPr>
        <w:t xml:space="preserve">ανοικτού </w:t>
      </w:r>
      <w:r>
        <w:rPr>
          <w:sz w:val="22"/>
          <w:szCs w:val="22"/>
        </w:rPr>
        <w:t xml:space="preserve">άνω </w:t>
      </w:r>
      <w:r>
        <w:rPr>
          <w:rFonts w:eastAsia="Times New Roman" w:cs="Calibri" w:cstheme="minorHAnsi"/>
          <w:sz w:val="22"/>
          <w:szCs w:val="22"/>
          <w:lang w:eastAsia="el-GR"/>
        </w:rPr>
        <w:t xml:space="preserve">των ορίων διαγωνισμού </w:t>
      </w:r>
      <w:r>
        <w:rPr>
          <w:rFonts w:eastAsia="Calibri" w:cs="" w:cstheme="minorBidi" w:eastAsiaTheme="minorHAnsi"/>
          <w:b w:val="false"/>
          <w:bCs w:val="false"/>
          <w:color w:val="000000"/>
          <w:kern w:val="0"/>
          <w:sz w:val="22"/>
          <w:szCs w:val="22"/>
          <w:shd w:fill="auto" w:val="clear"/>
          <w:lang w:val="el-GR" w:eastAsia="en-US" w:bidi="ar-SA"/>
        </w:rPr>
        <w:t xml:space="preserve">ΠΡΟΜΗΘΕΙΑΣ ΕΙΔΩΝ: </w:t>
      </w:r>
      <w:r>
        <w:rPr>
          <w:rFonts w:eastAsia="Calibri" w:cs="" w:cstheme="minorBidi" w:eastAsiaTheme="minorHAnsi"/>
          <w:b w:val="false"/>
          <w:bCs w:val="false"/>
          <w:iCs/>
          <w:color w:val="000000"/>
          <w:kern w:val="0"/>
          <w:sz w:val="22"/>
          <w:szCs w:val="22"/>
          <w:shd w:fill="auto" w:val="clear"/>
          <w:lang w:val="el-GR" w:eastAsia="en-US" w:bidi="ar-SA"/>
        </w:rPr>
        <w:t>«ΚΑΛΛΙΕΡΓΕΙΕΣ ΜΙΚΡΟΒΙΟΛΟΓΙΑΣ» ΜΕ ΤΑΥΤΟΧΡΟΝΗ ΔΩΡΕΑΝ ΠΑΡΑΧΩΡΗΣΗ ΣΥΝΟΔΟΥ ΕΞΟΠΛΙΣΜΟΥ</w:t>
      </w:r>
      <w:r>
        <w:rPr>
          <w:rFonts w:eastAsia="Times New Roman" w:cs="Calibri"/>
          <w:sz w:val="22"/>
          <w:szCs w:val="22"/>
          <w:lang w:eastAsia="el-GR"/>
        </w:rPr>
        <w:t xml:space="preserve"> </w:t>
      </w:r>
      <w:r>
        <w:rPr>
          <w:rFonts w:eastAsia="Times New Roman" w:cs="Calibri" w:cstheme="minorHAnsi"/>
          <w:bCs/>
          <w:sz w:val="22"/>
          <w:szCs w:val="22"/>
          <w:lang w:eastAsia="el-GR"/>
        </w:rPr>
        <w:t xml:space="preserve">(Α.Δ.Α.Μ.: </w:t>
      </w:r>
      <w:r>
        <w:rPr>
          <w:rFonts w:eastAsia="Times New Roman" w:cs="Calibri" w:cstheme="minorHAnsi"/>
          <w:b/>
          <w:bCs/>
          <w:i w:val="false"/>
          <w:strike w:val="false"/>
          <w:dstrike w:val="false"/>
          <w:outline w:val="false"/>
          <w:shadow w:val="false"/>
          <w:sz w:val="22"/>
          <w:szCs w:val="22"/>
          <w:u w:val="none"/>
          <w:em w:val="none"/>
          <w:lang w:eastAsia="el-GR"/>
        </w:rPr>
        <w:t>22PROC010406100</w:t>
      </w:r>
      <w:r>
        <w:rPr>
          <w:rFonts w:eastAsia="Times New Roman" w:cs="Calibri" w:cstheme="minorHAnsi"/>
          <w:bCs/>
          <w:sz w:val="22"/>
          <w:szCs w:val="22"/>
          <w:lang w:eastAsia="el-GR"/>
        </w:rPr>
        <w:t>)</w:t>
      </w:r>
      <w:r>
        <w:rPr>
          <w:rFonts w:eastAsia="Calibri" w:cs="Calibri"/>
          <w:sz w:val="22"/>
          <w:szCs w:val="22"/>
          <w:lang w:eastAsia="el-GR"/>
        </w:rPr>
        <w:t xml:space="preserve"> </w:t>
      </w:r>
      <w:r>
        <w:rPr>
          <w:sz w:val="22"/>
          <w:szCs w:val="22"/>
        </w:rPr>
        <w:t xml:space="preserve">συνολικής εκτιμώμενης αξίας </w:t>
      </w:r>
      <w:r>
        <w:rPr>
          <w:rFonts w:cs="Times New Roman"/>
          <w:b/>
          <w:bCs/>
          <w:iCs/>
          <w:color w:val="000000"/>
          <w:sz w:val="22"/>
          <w:szCs w:val="22"/>
          <w:shd w:fill="auto" w:val="clear"/>
          <w:lang w:val="el-GR" w:eastAsia="en-US"/>
        </w:rPr>
        <w:t xml:space="preserve">280.968,13€ συμπεριλαμβανομένου ΦΠΑ 24%, </w:t>
      </w:r>
      <w:r>
        <w:rPr>
          <w:sz w:val="22"/>
          <w:szCs w:val="22"/>
        </w:rPr>
        <w:t xml:space="preserve">για τα οποία η </w:t>
      </w:r>
      <w:r>
        <w:rPr>
          <w:rFonts w:eastAsia="Times New Roman" w:cs="Calibri" w:cstheme="minorHAnsi"/>
          <w:iCs/>
          <w:sz w:val="22"/>
          <w:szCs w:val="22"/>
          <w:lang w:eastAsia="el-GR"/>
        </w:rPr>
        <w:t xml:space="preserve">Αναθέτουσα Αρχή με την υπ΄ αριθμ. </w:t>
      </w:r>
      <w:r>
        <w:rPr>
          <w:rFonts w:eastAsia="Calibri" w:cs="Calibri" w:cstheme="minorHAnsi"/>
          <w:b w:val="false"/>
          <w:bCs w:val="false"/>
          <w:iCs/>
          <w:color w:val="000000"/>
          <w:kern w:val="2"/>
          <w:sz w:val="22"/>
          <w:szCs w:val="22"/>
          <w:shd w:fill="auto" w:val="clear"/>
          <w:lang w:val="en-US" w:eastAsia="el-GR"/>
        </w:rPr>
        <w:t>17</w:t>
      </w:r>
      <w:r>
        <w:rPr>
          <w:rFonts w:eastAsia="Calibri" w:cs="Calibri" w:cstheme="minorHAnsi"/>
          <w:b w:val="false"/>
          <w:bCs w:val="false"/>
          <w:iCs/>
          <w:color w:val="000000"/>
          <w:kern w:val="2"/>
          <w:sz w:val="22"/>
          <w:szCs w:val="22"/>
          <w:shd w:fill="auto" w:val="clear"/>
          <w:vertAlign w:val="superscript"/>
          <w:lang w:val="en-US" w:eastAsia="el-GR"/>
        </w:rPr>
        <w:t>ης</w:t>
      </w:r>
      <w:r>
        <w:rPr>
          <w:rFonts w:eastAsia="Calibri" w:cs="Calibri" w:cstheme="minorHAnsi"/>
          <w:b w:val="false"/>
          <w:bCs w:val="false"/>
          <w:iCs/>
          <w:color w:val="000000"/>
          <w:kern w:val="2"/>
          <w:sz w:val="22"/>
          <w:szCs w:val="22"/>
          <w:shd w:fill="auto" w:val="clear"/>
          <w:lang w:val="en-US" w:eastAsia="el-GR"/>
        </w:rPr>
        <w:t>/22-07-2022 (θέμα 10</w:t>
      </w:r>
      <w:r>
        <w:rPr>
          <w:rFonts w:eastAsia="Calibri" w:cs="Calibri" w:cstheme="minorHAnsi"/>
          <w:b w:val="false"/>
          <w:bCs w:val="false"/>
          <w:iCs/>
          <w:color w:val="000000"/>
          <w:kern w:val="2"/>
          <w:sz w:val="22"/>
          <w:szCs w:val="22"/>
          <w:shd w:fill="auto" w:val="clear"/>
          <w:vertAlign w:val="superscript"/>
          <w:lang w:val="en-US" w:eastAsia="el-GR"/>
        </w:rPr>
        <w:t>ο</w:t>
      </w:r>
      <w:r>
        <w:rPr>
          <w:rFonts w:eastAsia="Calibri" w:cs="Calibri" w:cstheme="minorHAnsi"/>
          <w:b w:val="false"/>
          <w:bCs w:val="false"/>
          <w:iCs/>
          <w:color w:val="000000"/>
          <w:kern w:val="2"/>
          <w:sz w:val="22"/>
          <w:szCs w:val="22"/>
          <w:shd w:fill="auto" w:val="clear"/>
          <w:lang w:val="en-US" w:eastAsia="el-GR"/>
        </w:rPr>
        <w:t>)</w:t>
      </w:r>
      <w:r>
        <w:rPr>
          <w:rFonts w:eastAsia="Calibri" w:cs="Calibri" w:cstheme="minorHAnsi"/>
          <w:b w:val="false"/>
          <w:bCs w:val="false"/>
          <w:iCs/>
          <w:color w:val="000000"/>
          <w:kern w:val="2"/>
          <w:sz w:val="22"/>
          <w:szCs w:val="22"/>
          <w:shd w:fill="auto" w:val="clear"/>
          <w:lang w:eastAsia="el-GR"/>
        </w:rPr>
        <w:t xml:space="preserve"> απόφαση Δ.Σ </w:t>
      </w:r>
      <w:r>
        <w:rPr>
          <w:rFonts w:eastAsia="Calibri" w:cs="Calibri" w:cstheme="minorHAnsi"/>
          <w:iCs/>
          <w:color w:val="000000"/>
          <w:kern w:val="2"/>
          <w:sz w:val="22"/>
          <w:szCs w:val="22"/>
          <w:shd w:fill="auto" w:val="clear"/>
          <w:lang w:eastAsia="el-GR" w:bidi="ar-SA"/>
        </w:rPr>
        <w:t>έχει κηρυξεί άγονο τον Διαγωνισμό για παρπανω τμήματα΄.</w:t>
      </w:r>
    </w:p>
    <w:p>
      <w:pPr>
        <w:pStyle w:val="Normal"/>
        <w:jc w:val="both"/>
        <w:rPr>
          <w:rFonts w:ascii="Calibri" w:hAnsi="Calibri"/>
          <w:sz w:val="22"/>
          <w:szCs w:val="22"/>
        </w:rPr>
      </w:pPr>
      <w:r>
        <w:rPr>
          <w:rFonts w:eastAsia="Times New Roman" w:cs="Calibri" w:cstheme="minorHAnsi"/>
          <w:iCs/>
          <w:sz w:val="22"/>
          <w:szCs w:val="22"/>
          <w:lang w:eastAsia="el-GR"/>
        </w:rPr>
        <w:t xml:space="preserve">Ως εκ τούτου, </w:t>
      </w:r>
      <w:r>
        <w:rPr>
          <w:rFonts w:eastAsia="Times New Roman" w:cs="Calibri" w:cstheme="minorHAnsi"/>
          <w:iCs/>
          <w:sz w:val="22"/>
          <w:szCs w:val="22"/>
          <w:u w:val="none"/>
          <w:lang w:eastAsia="el-GR"/>
        </w:rPr>
        <w:t>οι</w:t>
      </w:r>
      <w:r>
        <w:rPr>
          <w:b/>
          <w:sz w:val="22"/>
          <w:szCs w:val="22"/>
          <w:u w:val="none"/>
        </w:rPr>
        <w:t xml:space="preserve"> </w:t>
      </w:r>
      <w:r>
        <w:rPr>
          <w:b w:val="false"/>
          <w:bCs w:val="false"/>
          <w:sz w:val="22"/>
          <w:szCs w:val="22"/>
          <w:u w:val="none"/>
        </w:rPr>
        <w:t>συγκεκριμένες συμβάσεις ανατίθενται σύμφωνα με το άρθρο 6 παρ. 10 του ν. 4412/2016</w:t>
      </w:r>
      <w:r>
        <w:rPr>
          <w:b/>
          <w:sz w:val="22"/>
          <w:szCs w:val="22"/>
        </w:rPr>
        <w:t xml:space="preserve"> </w:t>
      </w:r>
      <w:r>
        <w:rPr>
          <w:sz w:val="22"/>
          <w:szCs w:val="22"/>
        </w:rPr>
        <w:t>(Κατευθυντήρια Οδηγία 25 της</w:t>
      </w:r>
      <w:bookmarkStart w:id="0" w:name="_GoBack"/>
      <w:bookmarkEnd w:id="0"/>
      <w:r>
        <w:rPr>
          <w:sz w:val="22"/>
          <w:szCs w:val="22"/>
        </w:rPr>
        <w:t xml:space="preserve"> ΕΑΑΣΗΔΥ)  κατά παρέκκλιση</w:t>
      </w:r>
      <w:r>
        <w:rPr>
          <w:b/>
          <w:sz w:val="22"/>
          <w:szCs w:val="22"/>
        </w:rPr>
        <w:t xml:space="preserve"> </w:t>
      </w:r>
      <w:r>
        <w:rPr>
          <w:rFonts w:eastAsia="Times New Roman" w:cs="Calibri" w:cstheme="minorHAnsi"/>
          <w:iCs/>
          <w:sz w:val="22"/>
          <w:szCs w:val="22"/>
          <w:lang w:eastAsia="el-GR"/>
        </w:rPr>
        <w:t xml:space="preserve">του κανόνα που επιβάλλουν οι παράγραφοι 8 και 9 του </w:t>
      </w:r>
      <w:r>
        <w:rPr>
          <w:sz w:val="22"/>
          <w:szCs w:val="22"/>
        </w:rPr>
        <w:t xml:space="preserve">εν λόγω </w:t>
      </w:r>
      <w:r>
        <w:rPr>
          <w:rFonts w:eastAsia="Times New Roman" w:cs="Calibri" w:cstheme="minorHAnsi"/>
          <w:iCs/>
          <w:sz w:val="22"/>
          <w:szCs w:val="22"/>
          <w:lang w:eastAsia="el-GR"/>
        </w:rPr>
        <w:t>άρθρου</w:t>
      </w:r>
      <w:r>
        <w:rPr>
          <w:b/>
          <w:sz w:val="22"/>
          <w:szCs w:val="22"/>
        </w:rPr>
        <w:t xml:space="preserve"> </w:t>
      </w:r>
      <w:r>
        <w:rPr>
          <w:rFonts w:eastAsia="Times New Roman" w:cs="Calibri" w:cstheme="minorHAnsi"/>
          <w:iCs/>
          <w:sz w:val="22"/>
          <w:szCs w:val="22"/>
          <w:lang w:eastAsia="el-GR"/>
        </w:rPr>
        <w:t>ως προς τον τρόπο υπολογισμού της εκτιμώμενης αξίας μιας σύμβασης στην περίπτωση υποδιαίρεσης αυτής σε τμήματα,</w:t>
      </w:r>
      <w:r>
        <w:rPr>
          <w:sz w:val="22"/>
          <w:szCs w:val="22"/>
        </w:rPr>
        <w:t xml:space="preserve"> το οποίο ορίζει ότι:</w:t>
      </w:r>
    </w:p>
    <w:p>
      <w:pPr>
        <w:pStyle w:val="Normal"/>
        <w:tabs>
          <w:tab w:val="clear" w:pos="720"/>
          <w:tab w:val="left" w:pos="851" w:leader="none"/>
          <w:tab w:val="left" w:pos="1134" w:leader="none"/>
        </w:tabs>
        <w:spacing w:before="0" w:after="240"/>
        <w:ind w:left="709" w:hanging="0"/>
        <w:jc w:val="both"/>
        <w:rPr>
          <w:i/>
          <w:i/>
        </w:rPr>
      </w:pPr>
      <w:r>
        <w:rPr>
          <w:rFonts w:cs="Calibri"/>
          <w:i/>
          <w:shd w:fill="auto" w:val="clear"/>
          <w:lang w:val="en-US"/>
        </w:rPr>
        <w:t>Κατά παρέκκλιση από τα προβλεπόμενα στις παραγράφους 8 και 9, οι αναθέτουσες αρχές μπορούν να αναθέτουν συμβάσεις για μεμονωμένα τμήματα κατά τις διατάξεις του παρόντος Βιβλίου, λαμβάνοντας υπόψη την εκτιμώμενη αξία μόνο του τμήματος, εφόσον αυτή, χωρίς ΦΠΑ, είναι μικρότερη από 80.000 ευρώ για προμήθειες ή υπηρεσίες […]. Πάντως, η συνολική αξία των τμημάτων που ανατίθενται με αυτόν τον τρόπο, δεν υπερβαίνει το 20 % της συνολικής αξίας όλων των τμημάτων στις οποίες έχει διαιρεθεί […] η προτεινόμενη απόκτηση ομοιογενών αγαθών […].</w:t>
      </w:r>
    </w:p>
    <w:p>
      <w:pPr>
        <w:pStyle w:val="Normal"/>
        <w:spacing w:lineRule="auto" w:line="240" w:before="0" w:after="0"/>
        <w:jc w:val="both"/>
        <w:rPr>
          <w:sz w:val="22"/>
          <w:szCs w:val="22"/>
        </w:rPr>
      </w:pPr>
      <w:r>
        <w:rPr>
          <w:rFonts w:cs="Calibri" w:cstheme="minorHAnsi"/>
          <w:b/>
          <w:sz w:val="22"/>
          <w:szCs w:val="22"/>
          <w:u w:val="single"/>
        </w:rPr>
        <w:t>1.2. Τεχνικές απαιτήσεις</w:t>
      </w:r>
    </w:p>
    <w:p>
      <w:pPr>
        <w:pStyle w:val="Normal"/>
        <w:jc w:val="both"/>
        <w:rPr/>
      </w:pPr>
      <w:r>
        <w:rPr>
          <w:rFonts w:cs="Calibri" w:cstheme="minorHAnsi"/>
          <w:sz w:val="22"/>
          <w:szCs w:val="22"/>
        </w:rPr>
        <w:t xml:space="preserve">Αναλυτική περιγραφή των τεχνικών χαρακτηριστικών “ </w:t>
      </w:r>
      <w:r>
        <w:rPr>
          <w:rFonts w:cs="Calibri" w:cstheme="minorHAnsi"/>
          <w:bCs/>
          <w:color w:val="000000"/>
          <w:sz w:val="22"/>
          <w:szCs w:val="22"/>
        </w:rPr>
        <w:t xml:space="preserve">Τμήμα </w:t>
      </w:r>
      <w:r>
        <w:rPr>
          <w:rFonts w:cs="Calibri" w:cstheme="minorHAnsi"/>
          <w:b w:val="false"/>
          <w:bCs w:val="false"/>
          <w:color w:val="000000"/>
          <w:sz w:val="22"/>
          <w:szCs w:val="22"/>
        </w:rPr>
        <w:t xml:space="preserve">1) </w:t>
      </w:r>
      <w:r>
        <w:rPr>
          <w:rFonts w:cs="Calibri" w:cstheme="minorHAnsi"/>
          <w:b w:val="false"/>
          <w:bCs w:val="false"/>
          <w:i w:val="false"/>
          <w:strike w:val="false"/>
          <w:dstrike w:val="false"/>
          <w:outline w:val="false"/>
          <w:shadow w:val="false"/>
          <w:color w:val="000000"/>
          <w:sz w:val="22"/>
          <w:szCs w:val="22"/>
          <w:u w:val="single"/>
          <w:em w:val="none"/>
        </w:rPr>
        <w:t xml:space="preserve">ΑΝΑΛΥΤΗΣ ΟΥΡΩΝ ΕΦΗΜΕΡΕΙΟ </w:t>
      </w:r>
      <w:r>
        <w:rPr>
          <w:rFonts w:cs="Calibri"/>
          <w:b w:val="false"/>
          <w:bCs w:val="false"/>
          <w:i w:val="false"/>
          <w:strike w:val="false"/>
          <w:dstrike w:val="false"/>
          <w:outline w:val="false"/>
          <w:shadow w:val="false"/>
          <w:color w:val="000000"/>
          <w:sz w:val="22"/>
          <w:szCs w:val="22"/>
          <w:u w:val="singl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singl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single"/>
          <w:em w:val="none"/>
        </w:rPr>
        <w:t xml:space="preserve">συνοδό εξοπλισμό), </w:t>
      </w:r>
      <w:r>
        <w:rPr>
          <w:rFonts w:cs="Calibri" w:cstheme="minorHAnsi"/>
          <w:b w:val="false"/>
          <w:bCs/>
          <w:i w:val="false"/>
          <w:strike w:val="false"/>
          <w:dstrike w:val="false"/>
          <w:outline w:val="false"/>
          <w:shadow w:val="false"/>
          <w:color w:val="000000"/>
          <w:sz w:val="22"/>
          <w:szCs w:val="22"/>
          <w:u w:val="single"/>
          <w:em w:val="none"/>
        </w:rPr>
        <w:t xml:space="preserve">Τμήμα </w:t>
      </w:r>
      <w:r>
        <w:rPr>
          <w:rFonts w:cs="Calibri"/>
          <w:b w:val="false"/>
          <w:bCs w:val="false"/>
          <w:i w:val="false"/>
          <w:strike w:val="false"/>
          <w:dstrike w:val="false"/>
          <w:outline w:val="false"/>
          <w:shadow w:val="false"/>
          <w:color w:val="000000"/>
          <w:sz w:val="22"/>
          <w:szCs w:val="22"/>
          <w:u w:val="single"/>
          <w:em w:val="none"/>
        </w:rPr>
        <w:t>2</w:t>
      </w:r>
      <w:r>
        <w:rPr>
          <w:rFonts w:cs="Calibri" w:cstheme="minorHAnsi"/>
          <w:b w:val="false"/>
          <w:bCs w:val="false"/>
          <w:i w:val="false"/>
          <w:strike w:val="false"/>
          <w:dstrike w:val="false"/>
          <w:outline w:val="false"/>
          <w:shadow w:val="false"/>
          <w:color w:val="000000"/>
          <w:sz w:val="22"/>
          <w:szCs w:val="22"/>
          <w:u w:val="single"/>
          <w:em w:val="none"/>
        </w:rPr>
        <w:t>) ΑΝΟΣΟΕΝΖΥΜΙΚΟΣ ΑΝΑΛΥΤΗΣ ΤΕΧΝΙΚΗ ELISA</w:t>
      </w:r>
      <w:r>
        <w:rPr>
          <w:rFonts w:cs="Calibri"/>
          <w:b w:val="false"/>
          <w:bCs w:val="false"/>
          <w:i w:val="false"/>
          <w:strike w:val="false"/>
          <w:dstrike w:val="false"/>
          <w:outline w:val="false"/>
          <w:shadow w:val="false"/>
          <w:color w:val="000000"/>
          <w:sz w:val="22"/>
          <w:szCs w:val="22"/>
          <w:u w:val="single"/>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singl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single"/>
          <w:em w:val="none"/>
        </w:rPr>
        <w:t>συνοδό εξοπλισμό)</w:t>
      </w:r>
      <w:r>
        <w:rPr>
          <w:rFonts w:cs="Calibri" w:cstheme="minorHAnsi"/>
          <w:b w:val="false"/>
          <w:bCs w:val="false"/>
          <w:i w:val="false"/>
          <w:strike w:val="false"/>
          <w:dstrike w:val="false"/>
          <w:outline w:val="false"/>
          <w:shadow w:val="false"/>
          <w:color w:val="000000"/>
          <w:sz w:val="22"/>
          <w:szCs w:val="22"/>
          <w:u w:val="single"/>
          <w:em w:val="none"/>
        </w:rPr>
        <w:t xml:space="preserve"> και </w:t>
      </w:r>
      <w:r>
        <w:rPr>
          <w:rFonts w:cs="Calibri" w:cstheme="minorHAnsi"/>
          <w:b w:val="false"/>
          <w:bCs/>
          <w:i w:val="false"/>
          <w:strike w:val="false"/>
          <w:dstrike w:val="false"/>
          <w:outline w:val="false"/>
          <w:shadow w:val="false"/>
          <w:color w:val="000000"/>
          <w:sz w:val="22"/>
          <w:szCs w:val="22"/>
          <w:u w:val="single"/>
          <w:em w:val="none"/>
        </w:rPr>
        <w:t xml:space="preserve">Τμήμα </w:t>
      </w:r>
      <w:r>
        <w:rPr>
          <w:rFonts w:cs="Calibri" w:cstheme="minorHAnsi"/>
          <w:b w:val="false"/>
          <w:bCs w:val="false"/>
          <w:i w:val="false"/>
          <w:strike w:val="false"/>
          <w:dstrike w:val="false"/>
          <w:outline w:val="false"/>
          <w:shadow w:val="false"/>
          <w:color w:val="000000"/>
          <w:sz w:val="22"/>
          <w:szCs w:val="22"/>
          <w:u w:val="single"/>
          <w:em w:val="none"/>
        </w:rPr>
        <w:t>3)</w:t>
      </w:r>
      <w:r>
        <w:rPr>
          <w:rFonts w:cs="Calibri" w:cstheme="minorHAnsi"/>
          <w:b w:val="false"/>
          <w:bCs w:val="false"/>
          <w:i w:val="false"/>
          <w:strike w:val="false"/>
          <w:dstrike w:val="false"/>
          <w:outline w:val="false"/>
          <w:shadow w:val="false"/>
          <w:color w:val="000000"/>
          <w:sz w:val="22"/>
          <w:szCs w:val="22"/>
          <w:u w:val="single"/>
          <w:shd w:fill="auto" w:val="clear"/>
          <w:em w:val="none"/>
          <w:lang w:val="el-GR" w:eastAsia="en-US"/>
        </w:rPr>
        <w:t xml:space="preserve"> Σ</w:t>
      </w:r>
      <w:r>
        <w:rPr>
          <w:rFonts w:cs="Calibri" w:cstheme="minorHAnsi"/>
          <w:b w:val="false"/>
          <w:bCs w:val="false"/>
          <w:i w:val="false"/>
          <w:strike w:val="false"/>
          <w:dstrike w:val="false"/>
          <w:outline w:val="false"/>
          <w:shadow w:val="false"/>
          <w:color w:val="000000"/>
          <w:sz w:val="22"/>
          <w:szCs w:val="22"/>
          <w:u w:val="single"/>
          <w:shd w:fill="auto" w:val="clear"/>
          <w:em w:val="none"/>
        </w:rPr>
        <w:t>ΥΣΤΗΜΑ ΗΛΕΚΤΡΟΦΟΡΗΣΗΣ-ΑΝΟΣΟΚΑΘΗΛΩΣΗΣ</w:t>
      </w:r>
      <w:r>
        <w:rPr>
          <w:rFonts w:cs="Calibri"/>
          <w:b w:val="false"/>
          <w:bCs w:val="false"/>
          <w:i w:val="false"/>
          <w:strike w:val="false"/>
          <w:dstrike w:val="false"/>
          <w:outline w:val="false"/>
          <w:shadow w:val="false"/>
          <w:color w:val="000000"/>
          <w:sz w:val="22"/>
          <w:szCs w:val="22"/>
          <w:u w:val="single"/>
          <w:shd w:fill="auto" w:val="clear"/>
          <w:em w:val="none"/>
        </w:rPr>
        <w:t xml:space="preserve">(Αντιδραστήρια, calibrators, controls με </w:t>
      </w:r>
      <w:r>
        <w:rPr>
          <w:rFonts w:eastAsia="Times New Roman" w:cs="Calibri"/>
          <w:b w:val="false"/>
          <w:bCs w:val="false"/>
          <w:i w:val="false"/>
          <w:strike w:val="false"/>
          <w:dstrike w:val="false"/>
          <w:outline w:val="false"/>
          <w:shadow w:val="false"/>
          <w:color w:val="000000"/>
          <w:sz w:val="22"/>
          <w:szCs w:val="22"/>
          <w:u w:val="single"/>
          <w:shd w:fill="auto" w:val="clear"/>
          <w:em w:val="none"/>
          <w:lang w:val="el-GR" w:eastAsia="zh-CN" w:bidi="ar-SA"/>
        </w:rPr>
        <w:t xml:space="preserve">δωρεάν </w:t>
      </w:r>
      <w:r>
        <w:rPr>
          <w:rFonts w:cs="Calibri"/>
          <w:b w:val="false"/>
          <w:bCs w:val="false"/>
          <w:i w:val="false"/>
          <w:strike w:val="false"/>
          <w:dstrike w:val="false"/>
          <w:outline w:val="false"/>
          <w:shadow w:val="false"/>
          <w:color w:val="000000"/>
          <w:sz w:val="22"/>
          <w:szCs w:val="22"/>
          <w:u w:val="single"/>
          <w:shd w:fill="auto" w:val="clear"/>
          <w:em w:val="none"/>
        </w:rPr>
        <w:t>συνοδό εξοπλισμό)</w:t>
      </w:r>
      <w:r>
        <w:rPr>
          <w:rFonts w:cs="Calibri" w:cstheme="minorHAnsi"/>
          <w:b w:val="false"/>
          <w:bCs w:val="false"/>
          <w:sz w:val="22"/>
          <w:szCs w:val="22"/>
          <w:lang w:eastAsia="el-GR"/>
        </w:rPr>
        <w:t xml:space="preserve"> </w:t>
      </w:r>
      <w:r>
        <w:rPr>
          <w:rFonts w:cs="Calibri" w:cstheme="minorHAnsi"/>
          <w:b w:val="false"/>
          <w:bCs w:val="false"/>
          <w:sz w:val="22"/>
          <w:szCs w:val="22"/>
        </w:rPr>
        <w:t>”</w:t>
      </w:r>
      <w:r>
        <w:rPr>
          <w:rStyle w:val="Fontstyle01"/>
          <w:rFonts w:cs="Calibri" w:cstheme="minorHAnsi"/>
          <w:sz w:val="22"/>
          <w:szCs w:val="22"/>
        </w:rPr>
        <w:t xml:space="preserve"> </w:t>
      </w:r>
      <w:r>
        <w:rPr>
          <w:rFonts w:cs="Calibri" w:cstheme="minorHAnsi"/>
          <w:sz w:val="22"/>
          <w:szCs w:val="22"/>
        </w:rPr>
        <w:t>και των ειδικότερων απαιτήσεων–προδιαγραφών περιλαμβάνεται στο ΠΑΡΑΡΤΗΜΑ 1: ΤΕΧΝΙΚΕΣ ΠΡΟΔΙΑΓΡΑΦΕΣ - ΦΥΛΛΟ ΣΥΜΜΟΡΦΩΣΗΣ το οποίο αποτελεί αναπόσπαστο στοιχείο της παρούσας.</w:t>
      </w:r>
    </w:p>
    <w:p>
      <w:pPr>
        <w:pStyle w:val="Normal"/>
        <w:spacing w:lineRule="auto" w:line="240" w:before="0" w:after="0"/>
        <w:jc w:val="both"/>
        <w:rPr>
          <w:sz w:val="22"/>
          <w:szCs w:val="22"/>
        </w:rPr>
      </w:pPr>
      <w:r>
        <w:rPr>
          <w:rFonts w:cs="Calibri" w:cstheme="minorHAnsi"/>
          <w:b/>
          <w:sz w:val="22"/>
          <w:szCs w:val="22"/>
          <w:u w:val="single"/>
          <w:shd w:fill="auto" w:val="clear"/>
        </w:rPr>
        <w:t>1.3. Διάρκεια σύμβασης</w:t>
      </w:r>
    </w:p>
    <w:p>
      <w:pPr>
        <w:pStyle w:val="Normal"/>
        <w:jc w:val="both"/>
        <w:rPr>
          <w:sz w:val="22"/>
          <w:szCs w:val="22"/>
        </w:rPr>
      </w:pPr>
      <w:r>
        <w:rPr>
          <w:rFonts w:cs="Calibri" w:cstheme="minorHAnsi"/>
          <w:sz w:val="22"/>
          <w:szCs w:val="22"/>
          <w:shd w:fill="auto" w:val="clear"/>
          <w:lang w:eastAsia="el-GR"/>
        </w:rPr>
        <w:t xml:space="preserve">Η διάρκεια της σύμβασης ορίζεται από την υπογραφή της </w:t>
      </w:r>
      <w:r>
        <w:rPr>
          <w:rFonts w:eastAsia="Times New Roman" w:cs="Calibri"/>
          <w:color w:val="000000"/>
          <w:sz w:val="22"/>
          <w:szCs w:val="22"/>
          <w:shd w:fill="auto" w:val="clear"/>
          <w:lang w:val="el-GR" w:eastAsia="zh-CN" w:bidi="ar-SA"/>
        </w:rPr>
        <w:t>μέ</w:t>
      </w:r>
      <w:r>
        <w:rPr>
          <w:rFonts w:eastAsia="Times New Roman" w:cs="Times New Roman"/>
          <w:iCs/>
          <w:color w:val="000000"/>
          <w:sz w:val="22"/>
          <w:szCs w:val="22"/>
          <w:shd w:fill="auto" w:val="clear"/>
          <w:lang w:val="el-GR" w:eastAsia="zh-CN" w:bidi="ar-SA"/>
        </w:rPr>
        <w:t>χρι εξαντλήσεως του φυσικού–οικονομικού αντικειμένου.</w:t>
      </w:r>
    </w:p>
    <w:p>
      <w:pPr>
        <w:pStyle w:val="Normal"/>
        <w:jc w:val="both"/>
        <w:rPr>
          <w:sz w:val="22"/>
          <w:szCs w:val="22"/>
          <w:highlight w:val="none"/>
          <w:shd w:fill="auto" w:val="clear"/>
        </w:rPr>
      </w:pPr>
      <w:r>
        <w:rPr>
          <w:rFonts w:eastAsia="Times New Roman" w:cs="Calibri"/>
          <w:b/>
          <w:iCs/>
          <w:color w:val="000000"/>
          <w:sz w:val="22"/>
          <w:szCs w:val="22"/>
          <w:shd w:fill="auto" w:val="clear"/>
          <w:lang w:val="el-GR" w:eastAsia="zh-CN" w:bidi="ar-SA"/>
        </w:rPr>
        <w:t xml:space="preserve">Αντικείμενο της σύμβασης  είναι η προμήθεια αντιδραστηρίων </w:t>
      </w:r>
      <w:r>
        <w:rPr>
          <w:rFonts w:eastAsia="Times New Roman" w:cs="Calibri"/>
          <w:b/>
          <w:iCs/>
          <w:color w:val="000000"/>
          <w:sz w:val="22"/>
          <w:szCs w:val="22"/>
          <w:shd w:fill="auto" w:val="clear"/>
          <w:lang w:val="el-GR" w:eastAsia="en-US" w:bidi="ar-SA"/>
        </w:rPr>
        <w:t>με ταυτόχρονη δωρεάν παραχώρηση συνοδού εξοπλισμού για την κάλυψη αναγκών του Γενικού Νοσοκομείου Σερρών,</w:t>
      </w:r>
      <w:r>
        <w:rPr>
          <w:rFonts w:eastAsia="Times New Roman" w:cs="Calibri"/>
          <w:b/>
          <w:iCs/>
          <w:color w:val="000000"/>
          <w:sz w:val="22"/>
          <w:szCs w:val="22"/>
          <w:shd w:fill="auto" w:val="clear"/>
          <w:lang w:val="el-GR" w:eastAsia="zh-CN" w:bidi="ar-SA"/>
        </w:rPr>
        <w:t xml:space="preserve"> στο πλαίσιο υλοποίησης του Προγράμματος Προμηθειών Υπηρεσιών Υγείας (Π.Π.Υ.Φ.Υ.) έτους 20</w:t>
      </w:r>
      <w:r>
        <w:rPr>
          <w:rFonts w:eastAsia="Times New Roman" w:cs="Calibri"/>
          <w:b/>
          <w:iCs/>
          <w:color w:val="000000"/>
          <w:sz w:val="22"/>
          <w:szCs w:val="22"/>
          <w:shd w:fill="auto" w:val="clear"/>
          <w:lang w:val="en-US" w:eastAsia="zh-CN" w:bidi="ar-SA"/>
        </w:rPr>
        <w:t>22</w:t>
      </w:r>
      <w:r>
        <w:rPr>
          <w:rFonts w:eastAsia="Times New Roman" w:cs="Calibri"/>
          <w:b/>
          <w:iCs/>
          <w:color w:val="000000"/>
          <w:sz w:val="22"/>
          <w:szCs w:val="22"/>
          <w:shd w:fill="auto" w:val="clear"/>
          <w:lang w:val="el-GR" w:eastAsia="zh-CN" w:bidi="ar-SA"/>
        </w:rPr>
        <w:t xml:space="preserve">, </w:t>
      </w:r>
      <w:r>
        <w:rPr>
          <w:rFonts w:eastAsia="Times New Roman" w:cs="Calibri"/>
          <w:b/>
          <w:bCs/>
          <w:iCs/>
          <w:color w:val="000000"/>
          <w:sz w:val="22"/>
          <w:szCs w:val="22"/>
          <w:shd w:fill="auto" w:val="clear"/>
          <w:lang w:val="el-GR" w:eastAsia="zh-CN" w:bidi="ar-SA"/>
        </w:rPr>
        <w:t xml:space="preserve">CPV </w:t>
      </w:r>
      <w:r>
        <w:rPr>
          <w:rFonts w:eastAsia="Times New Roman" w:cs="Calibri"/>
          <w:b/>
          <w:bCs/>
          <w:iCs/>
          <w:color w:val="000000"/>
          <w:sz w:val="22"/>
          <w:szCs w:val="22"/>
          <w:shd w:fill="auto" w:val="clear"/>
          <w:lang w:val="el-GR" w:eastAsia="en-US" w:bidi="ar-SA"/>
        </w:rPr>
        <w:t xml:space="preserve">33698100-0. </w:t>
      </w:r>
      <w:r>
        <w:rPr>
          <w:rFonts w:eastAsia="Times New Roman" w:cs="Calibri"/>
          <w:b/>
          <w:iCs/>
          <w:color w:val="000000"/>
          <w:sz w:val="22"/>
          <w:szCs w:val="22"/>
          <w:shd w:fill="auto" w:val="clear"/>
          <w:lang w:val="el-GR" w:eastAsia="zh-CN" w:bidi="ar-SA"/>
        </w:rPr>
        <w:t>Η παρούσα σύμβαση υποδιαιρείται στα κάτωθι τμήματα (</w:t>
      </w:r>
      <w:r>
        <w:rPr>
          <w:rFonts w:eastAsia="Times New Roman" w:cs="Calibri"/>
          <w:b/>
          <w:iCs/>
          <w:color w:val="000000"/>
          <w:sz w:val="22"/>
          <w:szCs w:val="22"/>
          <w:u w:val="single"/>
          <w:shd w:fill="auto" w:val="clear"/>
          <w:lang w:val="el-GR" w:eastAsia="zh-CN" w:bidi="ar-SA"/>
        </w:rPr>
        <w:t xml:space="preserve">Αναλυτικά οι τεχνικές προδιαγραφές  και το πλήθος των ζητούμενων εξετάσεων στο </w:t>
      </w:r>
      <w:r>
        <w:rPr>
          <w:rFonts w:eastAsia="Times New Roman" w:cs="Calibri"/>
          <w:b/>
          <w:bCs/>
          <w:iCs/>
          <w:color w:val="000000"/>
          <w:sz w:val="22"/>
          <w:szCs w:val="22"/>
          <w:u w:val="single"/>
          <w:shd w:fill="auto" w:val="clear"/>
          <w:lang w:val="el-GR" w:eastAsia="zh-CN" w:bidi="ar-SA"/>
        </w:rPr>
        <w:t xml:space="preserve">ΠΑΡΑΡΤΗΜΑ 1 </w:t>
      </w:r>
      <w:r>
        <w:rPr>
          <w:rFonts w:eastAsia="Times New Roman" w:cs="Calibri"/>
          <w:b/>
          <w:bCs/>
          <w:iCs/>
          <w:color w:val="000000"/>
          <w:sz w:val="22"/>
          <w:szCs w:val="22"/>
          <w:u w:val="none"/>
          <w:shd w:fill="auto" w:val="clear"/>
          <w:lang w:val="el-GR" w:eastAsia="zh-CN" w:bidi="ar-SA"/>
        </w:rPr>
        <w:t>(το πλήθος και τα είδη των εξετάσεων  στο ΠΑΡΑΡΤΗΜΑ 1 αντιπροσωπεύουν τις ετήσιες ανάγκες του Νοσοκομείου</w:t>
      </w:r>
      <w:r>
        <w:rPr>
          <w:rFonts w:eastAsia="Times New Roman" w:cs="Calibri"/>
          <w:b/>
          <w:iCs/>
          <w:color w:val="000000"/>
          <w:sz w:val="22"/>
          <w:szCs w:val="22"/>
          <w:u w:val="none"/>
          <w:shd w:fill="auto" w:val="clear"/>
          <w:lang w:val="el-GR" w:eastAsia="zh-CN" w:bidi="ar-SA"/>
        </w:rPr>
        <w:t>).</w:t>
      </w:r>
    </w:p>
    <w:p>
      <w:pPr>
        <w:pStyle w:val="Normal"/>
        <w:jc w:val="both"/>
        <w:rPr>
          <w:sz w:val="22"/>
          <w:szCs w:val="22"/>
        </w:rPr>
      </w:pPr>
      <w:r>
        <w:rPr>
          <w:rFonts w:cs="Calibri" w:cstheme="minorHAnsi"/>
          <w:b/>
          <w:sz w:val="22"/>
          <w:szCs w:val="22"/>
        </w:rPr>
        <w:t>Η συνολική εκτιμώμενη αξία</w:t>
      </w:r>
      <w:r>
        <w:rPr>
          <w:rFonts w:cs="Calibri" w:cstheme="minorHAnsi"/>
          <w:sz w:val="22"/>
          <w:szCs w:val="22"/>
        </w:rPr>
        <w:t xml:space="preserve"> της σύμβασης,</w:t>
      </w:r>
      <w:r>
        <w:rPr>
          <w:rFonts w:cs="Calibri" w:cstheme="minorHAnsi"/>
          <w:sz w:val="22"/>
          <w:szCs w:val="22"/>
          <w:lang w:eastAsia="el-GR"/>
        </w:rPr>
        <w:t xml:space="preserve"> </w:t>
      </w:r>
      <w:r>
        <w:rPr>
          <w:rFonts w:cs="Calibri" w:cstheme="minorHAnsi"/>
          <w:sz w:val="22"/>
          <w:szCs w:val="22"/>
        </w:rPr>
        <w:t xml:space="preserve">ανέρχεται στο ποσό των </w:t>
      </w:r>
      <w:r>
        <w:rPr>
          <w:rFonts w:eastAsia="Times New Roman" w:cs="Times New Roman"/>
          <w:sz w:val="22"/>
          <w:szCs w:val="22"/>
          <w:lang w:val="el-GR" w:eastAsia="el-GR"/>
        </w:rPr>
        <w:t>: Τμήμα 1) 2.000,00€</w:t>
      </w:r>
      <w:r>
        <w:rPr>
          <w:rFonts w:eastAsia="Times New Roman" w:cs="Times New Roman"/>
          <w:sz w:val="22"/>
          <w:szCs w:val="22"/>
          <w:lang w:eastAsia="el-GR"/>
        </w:rPr>
        <w:t>, Τμήμα 2) 19.171,20€ και Τμήμα 3) 6.420,00€, όπως στον παρακάτω πίνακα:</w:t>
      </w:r>
    </w:p>
    <w:tbl>
      <w:tblPr>
        <w:tblW w:w="10266" w:type="dxa"/>
        <w:jc w:val="left"/>
        <w:tblInd w:w="-32" w:type="dxa"/>
        <w:tblLayout w:type="fixed"/>
        <w:tblCellMar>
          <w:top w:w="0" w:type="dxa"/>
          <w:left w:w="28" w:type="dxa"/>
          <w:bottom w:w="0" w:type="dxa"/>
          <w:right w:w="28" w:type="dxa"/>
        </w:tblCellMar>
      </w:tblPr>
      <w:tblGrid>
        <w:gridCol w:w="506"/>
        <w:gridCol w:w="3806"/>
        <w:gridCol w:w="1359"/>
        <w:gridCol w:w="1023"/>
        <w:gridCol w:w="1639"/>
        <w:gridCol w:w="1932"/>
      </w:tblGrid>
      <w:tr>
        <w:trPr>
          <w:trHeight w:val="515" w:hRule="atLeast"/>
        </w:trPr>
        <w:tc>
          <w:tcPr>
            <w:tcW w:w="506" w:type="dxa"/>
            <w:tcBorders>
              <w:top w:val="single" w:sz="2" w:space="0" w:color="000000"/>
              <w:left w:val="single" w:sz="2" w:space="0" w:color="000000"/>
              <w:bottom w:val="single" w:sz="2" w:space="0" w:color="000000"/>
            </w:tcBorders>
            <w:vAlign w:val="center"/>
          </w:tcPr>
          <w:p>
            <w:pPr>
              <w:pStyle w:val="Normal"/>
              <w:widowControl w:val="false"/>
              <w:spacing w:before="0" w:after="120"/>
              <w:jc w:val="center"/>
              <w:rPr>
                <w:sz w:val="16"/>
                <w:szCs w:val="16"/>
                <w:highlight w:val="none"/>
                <w:shd w:fill="auto" w:val="clear"/>
              </w:rPr>
            </w:pPr>
            <w:r>
              <w:rPr>
                <w:sz w:val="16"/>
                <w:szCs w:val="16"/>
                <w:shd w:fill="auto" w:val="clear"/>
              </w:rPr>
              <w:t>α/α</w:t>
            </w:r>
          </w:p>
        </w:tc>
        <w:tc>
          <w:tcPr>
            <w:tcW w:w="3806" w:type="dxa"/>
            <w:tcBorders>
              <w:top w:val="single" w:sz="2" w:space="0" w:color="000000"/>
              <w:left w:val="single" w:sz="2" w:space="0" w:color="000000"/>
              <w:bottom w:val="single" w:sz="2" w:space="0" w:color="000000"/>
            </w:tcBorders>
            <w:vAlign w:val="center"/>
          </w:tcPr>
          <w:p>
            <w:pPr>
              <w:pStyle w:val="Normal"/>
              <w:widowControl w:val="false"/>
              <w:spacing w:before="0" w:after="120"/>
              <w:jc w:val="center"/>
              <w:rPr>
                <w:sz w:val="16"/>
                <w:szCs w:val="16"/>
                <w:highlight w:val="none"/>
                <w:shd w:fill="auto" w:val="clear"/>
              </w:rPr>
            </w:pPr>
            <w:r>
              <w:rPr>
                <w:sz w:val="16"/>
                <w:szCs w:val="16"/>
                <w:shd w:fill="auto" w:val="clear"/>
              </w:rPr>
              <w:t>ΕΙΔΟΣ</w:t>
            </w:r>
          </w:p>
        </w:tc>
        <w:tc>
          <w:tcPr>
            <w:tcW w:w="1359" w:type="dxa"/>
            <w:tcBorders>
              <w:top w:val="single" w:sz="2" w:space="0" w:color="000000"/>
              <w:left w:val="single" w:sz="2" w:space="0" w:color="000000"/>
              <w:bottom w:val="single" w:sz="2" w:space="0" w:color="000000"/>
            </w:tcBorders>
            <w:vAlign w:val="center"/>
          </w:tcPr>
          <w:p>
            <w:pPr>
              <w:pStyle w:val="Normal"/>
              <w:widowControl w:val="false"/>
              <w:spacing w:before="0" w:after="120"/>
              <w:jc w:val="center"/>
              <w:rPr>
                <w:sz w:val="16"/>
                <w:szCs w:val="16"/>
                <w:highlight w:val="none"/>
                <w:shd w:fill="auto" w:val="clear"/>
                <w:lang w:val="el-GR"/>
              </w:rPr>
            </w:pPr>
            <w:r>
              <w:rPr>
                <w:sz w:val="16"/>
                <w:szCs w:val="16"/>
                <w:shd w:fill="auto" w:val="clear"/>
                <w:lang w:val="el-GR"/>
              </w:rPr>
              <w:t>Ποσότητα ανά τμήμα ανά τμήμα</w:t>
            </w:r>
          </w:p>
        </w:tc>
        <w:tc>
          <w:tcPr>
            <w:tcW w:w="1023" w:type="dxa"/>
            <w:tcBorders>
              <w:top w:val="single" w:sz="2" w:space="0" w:color="000000"/>
              <w:left w:val="single" w:sz="2" w:space="0" w:color="000000"/>
              <w:bottom w:val="single" w:sz="2" w:space="0" w:color="000000"/>
            </w:tcBorders>
            <w:vAlign w:val="center"/>
          </w:tcPr>
          <w:p>
            <w:pPr>
              <w:pStyle w:val="Normal"/>
              <w:widowControl w:val="false"/>
              <w:spacing w:before="0" w:after="120"/>
              <w:jc w:val="center"/>
              <w:rPr>
                <w:sz w:val="16"/>
                <w:szCs w:val="16"/>
                <w:highlight w:val="none"/>
                <w:shd w:fill="auto" w:val="clear"/>
                <w:lang w:val="el-GR"/>
              </w:rPr>
            </w:pPr>
            <w:r>
              <w:rPr>
                <w:sz w:val="16"/>
                <w:szCs w:val="16"/>
                <w:shd w:fill="auto" w:val="clear"/>
                <w:lang w:val="el-GR"/>
              </w:rPr>
              <w:t>Μονάδα μέτρησης</w:t>
            </w:r>
          </w:p>
        </w:tc>
        <w:tc>
          <w:tcPr>
            <w:tcW w:w="1639" w:type="dxa"/>
            <w:tcBorders>
              <w:top w:val="single" w:sz="2" w:space="0" w:color="000000"/>
              <w:left w:val="single" w:sz="2" w:space="0" w:color="000000"/>
              <w:bottom w:val="single" w:sz="2" w:space="0" w:color="000000"/>
            </w:tcBorders>
            <w:vAlign w:val="center"/>
          </w:tcPr>
          <w:p>
            <w:pPr>
              <w:pStyle w:val="Normal"/>
              <w:widowControl w:val="false"/>
              <w:spacing w:before="0" w:after="120"/>
              <w:jc w:val="center"/>
              <w:rPr>
                <w:sz w:val="16"/>
                <w:szCs w:val="16"/>
                <w:highlight w:val="none"/>
                <w:shd w:fill="auto" w:val="clear"/>
              </w:rPr>
            </w:pPr>
            <w:r>
              <w:rPr>
                <w:sz w:val="16"/>
                <w:szCs w:val="16"/>
                <w:shd w:fill="auto" w:val="clear"/>
              </w:rPr>
              <w:t>Εκτιμώμενη αξία χωρίς ΦΠΑ</w:t>
            </w:r>
          </w:p>
        </w:tc>
        <w:tc>
          <w:tcPr>
            <w:tcW w:w="1932"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before="0" w:after="120"/>
              <w:jc w:val="center"/>
              <w:rPr>
                <w:sz w:val="16"/>
                <w:szCs w:val="16"/>
                <w:highlight w:val="none"/>
                <w:shd w:fill="auto" w:val="clear"/>
              </w:rPr>
            </w:pPr>
            <w:r>
              <w:rPr>
                <w:sz w:val="16"/>
                <w:szCs w:val="16"/>
                <w:shd w:fill="auto" w:val="clear"/>
              </w:rPr>
              <w:t>Εκτιμώμενη αξία με ΦΠΑ 24%</w:t>
            </w:r>
          </w:p>
        </w:tc>
      </w:tr>
      <w:tr>
        <w:trPr>
          <w:trHeight w:val="352" w:hRule="atLeast"/>
        </w:trPr>
        <w:tc>
          <w:tcPr>
            <w:tcW w:w="506" w:type="dxa"/>
            <w:tcBorders>
              <w:left w:val="single" w:sz="2" w:space="0" w:color="000000"/>
              <w:bottom w:val="single" w:sz="2" w:space="0" w:color="000000"/>
            </w:tcBorders>
            <w:vAlign w:val="bottom"/>
          </w:tcPr>
          <w:p>
            <w:pPr>
              <w:pStyle w:val="Normal"/>
              <w:widowControl w:val="false"/>
              <w:spacing w:before="0" w:after="120"/>
              <w:jc w:val="center"/>
              <w:rPr>
                <w:sz w:val="16"/>
                <w:szCs w:val="16"/>
                <w:highlight w:val="none"/>
                <w:shd w:fill="auto" w:val="clear"/>
              </w:rPr>
            </w:pPr>
            <w:r>
              <w:rPr>
                <w:sz w:val="16"/>
                <w:szCs w:val="16"/>
                <w:shd w:fill="auto" w:val="clear"/>
              </w:rPr>
              <w:t>1</w:t>
            </w:r>
          </w:p>
        </w:tc>
        <w:tc>
          <w:tcPr>
            <w:tcW w:w="3806" w:type="dxa"/>
            <w:tcBorders>
              <w:left w:val="single" w:sz="2" w:space="0" w:color="000000"/>
              <w:bottom w:val="single" w:sz="2" w:space="0" w:color="000000"/>
            </w:tcBorders>
            <w:vAlign w:val="bottom"/>
          </w:tcPr>
          <w:p>
            <w:pPr>
              <w:pStyle w:val="Normal"/>
              <w:widowControl w:val="false"/>
              <w:spacing w:before="0" w:after="120"/>
              <w:jc w:val="left"/>
              <w:rPr>
                <w:sz w:val="16"/>
                <w:szCs w:val="16"/>
                <w:highlight w:val="none"/>
                <w:shd w:fill="auto" w:val="clear"/>
              </w:rPr>
            </w:pPr>
            <w:r>
              <w:rPr>
                <w:sz w:val="16"/>
                <w:szCs w:val="16"/>
                <w:shd w:fill="auto" w:val="clear"/>
              </w:rPr>
              <w:t xml:space="preserve">ΑΝΑΛΥΤΗΣ ΟΥΡΩΝ ΕΦΗΜΕΡΙΟ (Αντιδραστήρια, calibrators, controls με </w:t>
            </w:r>
            <w:r>
              <w:rPr>
                <w:sz w:val="16"/>
                <w:szCs w:val="16"/>
                <w:shd w:fill="auto" w:val="clear"/>
                <w:lang w:val="el-GR"/>
              </w:rPr>
              <w:t xml:space="preserve">δωρεάν </w:t>
            </w:r>
            <w:r>
              <w:rPr>
                <w:sz w:val="16"/>
                <w:szCs w:val="16"/>
                <w:shd w:fill="auto" w:val="clear"/>
              </w:rPr>
              <w:t>συνοδό εξοπλισμό)</w:t>
            </w:r>
          </w:p>
        </w:tc>
        <w:tc>
          <w:tcPr>
            <w:tcW w:w="135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8000</w:t>
            </w:r>
          </w:p>
        </w:tc>
        <w:tc>
          <w:tcPr>
            <w:tcW w:w="1023"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lang w:val="el-GR"/>
              </w:rPr>
            </w:pPr>
            <w:r>
              <w:rPr>
                <w:b/>
                <w:bCs/>
                <w:sz w:val="16"/>
                <w:szCs w:val="16"/>
                <w:shd w:fill="auto" w:val="clear"/>
                <w:lang w:val="el-GR"/>
              </w:rPr>
              <w:t>Εξετάσεις</w:t>
            </w:r>
          </w:p>
        </w:tc>
        <w:tc>
          <w:tcPr>
            <w:tcW w:w="163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2.000,00 €</w:t>
            </w:r>
          </w:p>
        </w:tc>
        <w:tc>
          <w:tcPr>
            <w:tcW w:w="1932" w:type="dxa"/>
            <w:tcBorders>
              <w:left w:val="single" w:sz="2" w:space="0" w:color="000000"/>
              <w:bottom w:val="single" w:sz="2" w:space="0" w:color="000000"/>
              <w:right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2.480,00 €</w:t>
            </w:r>
          </w:p>
        </w:tc>
      </w:tr>
      <w:tr>
        <w:trPr>
          <w:trHeight w:val="352" w:hRule="atLeast"/>
        </w:trPr>
        <w:tc>
          <w:tcPr>
            <w:tcW w:w="506" w:type="dxa"/>
            <w:tcBorders>
              <w:left w:val="single" w:sz="2" w:space="0" w:color="000000"/>
              <w:bottom w:val="single" w:sz="2" w:space="0" w:color="000000"/>
            </w:tcBorders>
            <w:vAlign w:val="bottom"/>
          </w:tcPr>
          <w:p>
            <w:pPr>
              <w:pStyle w:val="Normal"/>
              <w:widowControl w:val="false"/>
              <w:spacing w:before="0" w:after="120"/>
              <w:jc w:val="center"/>
              <w:rPr>
                <w:sz w:val="16"/>
                <w:szCs w:val="16"/>
                <w:highlight w:val="none"/>
                <w:shd w:fill="auto" w:val="clear"/>
              </w:rPr>
            </w:pPr>
            <w:r>
              <w:rPr>
                <w:sz w:val="16"/>
                <w:szCs w:val="16"/>
                <w:shd w:fill="auto" w:val="clear"/>
              </w:rPr>
              <w:t>2</w:t>
            </w:r>
          </w:p>
        </w:tc>
        <w:tc>
          <w:tcPr>
            <w:tcW w:w="3806" w:type="dxa"/>
            <w:tcBorders>
              <w:left w:val="single" w:sz="2" w:space="0" w:color="000000"/>
              <w:bottom w:val="single" w:sz="2" w:space="0" w:color="000000"/>
            </w:tcBorders>
            <w:vAlign w:val="bottom"/>
          </w:tcPr>
          <w:p>
            <w:pPr>
              <w:pStyle w:val="Normal"/>
              <w:widowControl w:val="false"/>
              <w:spacing w:before="0" w:after="120"/>
              <w:jc w:val="left"/>
              <w:rPr>
                <w:sz w:val="16"/>
                <w:szCs w:val="16"/>
                <w:highlight w:val="none"/>
                <w:shd w:fill="auto" w:val="clear"/>
              </w:rPr>
            </w:pPr>
            <w:r>
              <w:rPr>
                <w:sz w:val="16"/>
                <w:szCs w:val="16"/>
                <w:shd w:fill="auto" w:val="clear"/>
              </w:rPr>
              <w:t xml:space="preserve">ΑΝΟΣΟΕΝΖΥΜΙΚΟΣ ΑΝΑΛΥΤΗΣ ΤΕΧΝΙΚΗ ELISA (Αντιδραστήρια, calibrators, controls με </w:t>
            </w:r>
            <w:r>
              <w:rPr>
                <w:sz w:val="16"/>
                <w:szCs w:val="16"/>
                <w:shd w:fill="auto" w:val="clear"/>
                <w:lang w:val="el-GR"/>
              </w:rPr>
              <w:t xml:space="preserve">δωρεάν </w:t>
            </w:r>
            <w:r>
              <w:rPr>
                <w:sz w:val="16"/>
                <w:szCs w:val="16"/>
                <w:shd w:fill="auto" w:val="clear"/>
              </w:rPr>
              <w:t>συνοδό εξοπλισμό)</w:t>
            </w:r>
          </w:p>
        </w:tc>
        <w:tc>
          <w:tcPr>
            <w:tcW w:w="135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3150</w:t>
            </w:r>
          </w:p>
        </w:tc>
        <w:tc>
          <w:tcPr>
            <w:tcW w:w="1023"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lang w:val="el-GR"/>
              </w:rPr>
            </w:pPr>
            <w:r>
              <w:rPr>
                <w:b/>
                <w:bCs/>
                <w:sz w:val="16"/>
                <w:szCs w:val="16"/>
                <w:shd w:fill="auto" w:val="clear"/>
                <w:lang w:val="el-GR"/>
              </w:rPr>
              <w:t>Εξετάσεις</w:t>
            </w:r>
          </w:p>
        </w:tc>
        <w:tc>
          <w:tcPr>
            <w:tcW w:w="163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19.171,20 €</w:t>
            </w:r>
          </w:p>
        </w:tc>
        <w:tc>
          <w:tcPr>
            <w:tcW w:w="1932" w:type="dxa"/>
            <w:tcBorders>
              <w:left w:val="single" w:sz="2" w:space="0" w:color="000000"/>
              <w:bottom w:val="single" w:sz="2" w:space="0" w:color="000000"/>
              <w:right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23.772,29 €</w:t>
            </w:r>
          </w:p>
        </w:tc>
      </w:tr>
      <w:tr>
        <w:trPr>
          <w:trHeight w:val="352" w:hRule="atLeast"/>
        </w:trPr>
        <w:tc>
          <w:tcPr>
            <w:tcW w:w="506" w:type="dxa"/>
            <w:tcBorders>
              <w:left w:val="single" w:sz="2" w:space="0" w:color="000000"/>
              <w:bottom w:val="single" w:sz="2" w:space="0" w:color="000000"/>
            </w:tcBorders>
            <w:vAlign w:val="bottom"/>
          </w:tcPr>
          <w:p>
            <w:pPr>
              <w:pStyle w:val="Normal"/>
              <w:widowControl w:val="false"/>
              <w:spacing w:before="0" w:after="120"/>
              <w:jc w:val="center"/>
              <w:rPr>
                <w:sz w:val="16"/>
                <w:szCs w:val="16"/>
                <w:highlight w:val="none"/>
                <w:shd w:fill="auto" w:val="clear"/>
              </w:rPr>
            </w:pPr>
            <w:r>
              <w:rPr>
                <w:sz w:val="16"/>
                <w:szCs w:val="16"/>
                <w:shd w:fill="auto" w:val="clear"/>
              </w:rPr>
              <w:t>3</w:t>
            </w:r>
          </w:p>
        </w:tc>
        <w:tc>
          <w:tcPr>
            <w:tcW w:w="3806" w:type="dxa"/>
            <w:tcBorders>
              <w:left w:val="single" w:sz="2" w:space="0" w:color="000000"/>
              <w:bottom w:val="single" w:sz="2" w:space="0" w:color="000000"/>
            </w:tcBorders>
            <w:vAlign w:val="bottom"/>
          </w:tcPr>
          <w:p>
            <w:pPr>
              <w:pStyle w:val="Normal"/>
              <w:widowControl w:val="false"/>
              <w:spacing w:before="0" w:after="120"/>
              <w:jc w:val="left"/>
              <w:rPr>
                <w:sz w:val="16"/>
                <w:szCs w:val="16"/>
                <w:highlight w:val="none"/>
                <w:shd w:fill="auto" w:val="clear"/>
              </w:rPr>
            </w:pPr>
            <w:r>
              <w:rPr>
                <w:sz w:val="16"/>
                <w:szCs w:val="16"/>
                <w:shd w:fill="auto" w:val="clear"/>
              </w:rPr>
              <w:t xml:space="preserve">ΣΥΣΤΗΜΑ ΗΛΕΚΤΡΟΦ.- ΑΝΟΣΟΚΑΘΗΛΩΣΗΣ (Αντιδραστήρια, calibrators, controls με </w:t>
            </w:r>
            <w:r>
              <w:rPr>
                <w:sz w:val="16"/>
                <w:szCs w:val="16"/>
                <w:shd w:fill="auto" w:val="clear"/>
                <w:lang w:val="el-GR"/>
              </w:rPr>
              <w:t xml:space="preserve">δωρεάν </w:t>
            </w:r>
            <w:r>
              <w:rPr>
                <w:sz w:val="16"/>
                <w:szCs w:val="16"/>
                <w:shd w:fill="auto" w:val="clear"/>
              </w:rPr>
              <w:t>συνοδό εξοπλισμό)</w:t>
            </w:r>
          </w:p>
        </w:tc>
        <w:tc>
          <w:tcPr>
            <w:tcW w:w="135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800</w:t>
            </w:r>
          </w:p>
        </w:tc>
        <w:tc>
          <w:tcPr>
            <w:tcW w:w="1023"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lang w:val="el-GR"/>
              </w:rPr>
            </w:pPr>
            <w:r>
              <w:rPr>
                <w:b/>
                <w:bCs/>
                <w:sz w:val="16"/>
                <w:szCs w:val="16"/>
                <w:shd w:fill="auto" w:val="clear"/>
                <w:lang w:val="el-GR"/>
              </w:rPr>
              <w:t>Εξετάσεις</w:t>
            </w:r>
          </w:p>
        </w:tc>
        <w:tc>
          <w:tcPr>
            <w:tcW w:w="163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6.420,00 €</w:t>
            </w:r>
          </w:p>
        </w:tc>
        <w:tc>
          <w:tcPr>
            <w:tcW w:w="1932" w:type="dxa"/>
            <w:tcBorders>
              <w:left w:val="single" w:sz="2" w:space="0" w:color="000000"/>
              <w:bottom w:val="single" w:sz="2" w:space="0" w:color="000000"/>
              <w:right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7.960,80 €</w:t>
            </w:r>
          </w:p>
        </w:tc>
      </w:tr>
      <w:tr>
        <w:trPr>
          <w:trHeight w:val="256" w:hRule="atLeast"/>
        </w:trPr>
        <w:tc>
          <w:tcPr>
            <w:tcW w:w="506" w:type="dxa"/>
            <w:tcBorders>
              <w:left w:val="single" w:sz="2" w:space="0" w:color="000000"/>
              <w:bottom w:val="single" w:sz="2" w:space="0" w:color="000000"/>
            </w:tcBorders>
            <w:vAlign w:val="bottom"/>
          </w:tcPr>
          <w:p>
            <w:pPr>
              <w:pStyle w:val="Normal"/>
              <w:widowControl w:val="false"/>
              <w:snapToGrid w:val="false"/>
              <w:spacing w:before="0" w:after="120"/>
              <w:jc w:val="left"/>
              <w:rPr>
                <w:b/>
                <w:b/>
                <w:bCs/>
                <w:sz w:val="16"/>
                <w:szCs w:val="16"/>
                <w:highlight w:val="none"/>
                <w:shd w:fill="auto" w:val="clear"/>
              </w:rPr>
            </w:pPr>
            <w:r>
              <w:rPr>
                <w:b/>
                <w:bCs/>
                <w:sz w:val="16"/>
                <w:szCs w:val="16"/>
                <w:shd w:fill="auto" w:val="clear"/>
              </w:rPr>
            </w:r>
          </w:p>
        </w:tc>
        <w:tc>
          <w:tcPr>
            <w:tcW w:w="3806" w:type="dxa"/>
            <w:tcBorders>
              <w:left w:val="single" w:sz="2" w:space="0" w:color="000000"/>
              <w:bottom w:val="single" w:sz="2" w:space="0" w:color="000000"/>
            </w:tcBorders>
            <w:vAlign w:val="bottom"/>
          </w:tcPr>
          <w:p>
            <w:pPr>
              <w:pStyle w:val="Normal"/>
              <w:widowControl w:val="false"/>
              <w:spacing w:before="0" w:after="120"/>
              <w:jc w:val="center"/>
              <w:rPr>
                <w:sz w:val="16"/>
                <w:szCs w:val="16"/>
                <w:highlight w:val="none"/>
                <w:shd w:fill="auto" w:val="clear"/>
              </w:rPr>
            </w:pPr>
            <w:r>
              <w:rPr>
                <w:sz w:val="16"/>
                <w:szCs w:val="16"/>
                <w:shd w:fill="auto" w:val="clear"/>
              </w:rPr>
              <w:t>Συνολικό Κόστος</w:t>
            </w:r>
          </w:p>
        </w:tc>
        <w:tc>
          <w:tcPr>
            <w:tcW w:w="1359" w:type="dxa"/>
            <w:tcBorders>
              <w:left w:val="single" w:sz="2" w:space="0" w:color="000000"/>
              <w:bottom w:val="single" w:sz="2" w:space="0" w:color="000000"/>
            </w:tcBorders>
            <w:vAlign w:val="center"/>
          </w:tcPr>
          <w:p>
            <w:pPr>
              <w:pStyle w:val="Normal"/>
              <w:widowControl w:val="false"/>
              <w:snapToGrid w:val="false"/>
              <w:spacing w:before="0" w:after="120"/>
              <w:jc w:val="center"/>
              <w:rPr>
                <w:b/>
                <w:b/>
                <w:bCs/>
                <w:sz w:val="16"/>
                <w:szCs w:val="16"/>
                <w:highlight w:val="none"/>
                <w:shd w:fill="auto" w:val="clear"/>
              </w:rPr>
            </w:pPr>
            <w:r>
              <w:rPr>
                <w:b/>
                <w:bCs/>
                <w:sz w:val="16"/>
                <w:szCs w:val="16"/>
                <w:shd w:fill="auto" w:val="clear"/>
              </w:rPr>
            </w:r>
          </w:p>
        </w:tc>
        <w:tc>
          <w:tcPr>
            <w:tcW w:w="1023" w:type="dxa"/>
            <w:tcBorders>
              <w:left w:val="single" w:sz="2" w:space="0" w:color="000000"/>
              <w:bottom w:val="single" w:sz="2" w:space="0" w:color="000000"/>
            </w:tcBorders>
            <w:vAlign w:val="center"/>
          </w:tcPr>
          <w:p>
            <w:pPr>
              <w:pStyle w:val="Normal"/>
              <w:widowControl w:val="false"/>
              <w:snapToGrid w:val="false"/>
              <w:spacing w:before="0" w:after="120"/>
              <w:jc w:val="center"/>
              <w:rPr>
                <w:b/>
                <w:b/>
                <w:bCs/>
                <w:sz w:val="16"/>
                <w:szCs w:val="16"/>
                <w:highlight w:val="none"/>
                <w:shd w:fill="auto" w:val="clear"/>
              </w:rPr>
            </w:pPr>
            <w:r>
              <w:rPr>
                <w:b/>
                <w:bCs/>
                <w:sz w:val="16"/>
                <w:szCs w:val="16"/>
                <w:shd w:fill="auto" w:val="clear"/>
              </w:rPr>
            </w:r>
          </w:p>
        </w:tc>
        <w:tc>
          <w:tcPr>
            <w:tcW w:w="1639" w:type="dxa"/>
            <w:tcBorders>
              <w:left w:val="single" w:sz="2" w:space="0" w:color="000000"/>
              <w:bottom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27.591,20 €</w:t>
            </w:r>
          </w:p>
        </w:tc>
        <w:tc>
          <w:tcPr>
            <w:tcW w:w="1932" w:type="dxa"/>
            <w:tcBorders>
              <w:left w:val="single" w:sz="2" w:space="0" w:color="000000"/>
              <w:bottom w:val="single" w:sz="2" w:space="0" w:color="000000"/>
              <w:right w:val="single" w:sz="2" w:space="0" w:color="000000"/>
            </w:tcBorders>
            <w:vAlign w:val="center"/>
          </w:tcPr>
          <w:p>
            <w:pPr>
              <w:pStyle w:val="Normal"/>
              <w:widowControl w:val="false"/>
              <w:spacing w:before="0" w:after="120"/>
              <w:jc w:val="center"/>
              <w:rPr>
                <w:b/>
                <w:b/>
                <w:bCs/>
                <w:sz w:val="16"/>
                <w:szCs w:val="16"/>
                <w:highlight w:val="none"/>
                <w:shd w:fill="auto" w:val="clear"/>
              </w:rPr>
            </w:pPr>
            <w:r>
              <w:rPr>
                <w:b/>
                <w:bCs/>
                <w:sz w:val="16"/>
                <w:szCs w:val="16"/>
                <w:shd w:fill="auto" w:val="clear"/>
              </w:rPr>
              <w:t>34.213.09 €</w:t>
            </w:r>
          </w:p>
        </w:tc>
      </w:tr>
    </w:tbl>
    <w:p>
      <w:pPr>
        <w:pStyle w:val="3"/>
        <w:rPr>
          <w:rFonts w:ascii="Calibri" w:hAnsi="Calibri"/>
          <w:sz w:val="22"/>
          <w:szCs w:val="22"/>
        </w:rPr>
      </w:pPr>
      <w:r>
        <w:rPr>
          <w:rFonts w:cs="Calibri" w:ascii="Calibri" w:hAnsi="Calibri" w:asciiTheme="minorHAnsi" w:cstheme="minorHAnsi" w:hAnsiTheme="minorHAnsi"/>
          <w:sz w:val="22"/>
          <w:szCs w:val="22"/>
          <w:u w:val="single"/>
          <w:lang w:val="el-GR"/>
        </w:rPr>
        <w:t>1.4. Κριτήριο ανάθεσης</w:t>
      </w:r>
    </w:p>
    <w:p>
      <w:pPr>
        <w:pStyle w:val="Normal"/>
        <w:jc w:val="both"/>
        <w:rPr>
          <w:rFonts w:ascii="Calibri" w:hAnsi="Calibri"/>
          <w:sz w:val="22"/>
          <w:szCs w:val="22"/>
        </w:rPr>
      </w:pPr>
      <w:r>
        <w:rPr>
          <w:rFonts w:cs="Calibri" w:cstheme="minorHAnsi"/>
          <w:color w:val="000000"/>
          <w:sz w:val="22"/>
          <w:szCs w:val="22"/>
        </w:rPr>
        <w:t>Κριτήριο ανάθεσης της Σύμβασης είναι η πλέον συμφέρουσα από οικονομική άποψη προσφορά βάσει</w:t>
        <w:br/>
        <w:t>τιμής (χαμηλότερη τιμή).</w:t>
      </w:r>
    </w:p>
    <w:p>
      <w:pPr>
        <w:pStyle w:val="Normal"/>
        <w:spacing w:lineRule="auto" w:line="240" w:before="0" w:after="0"/>
        <w:jc w:val="both"/>
        <w:rPr>
          <w:rFonts w:ascii="Calibri" w:hAnsi="Calibri"/>
          <w:sz w:val="22"/>
          <w:szCs w:val="22"/>
        </w:rPr>
      </w:pPr>
      <w:r>
        <w:rPr>
          <w:rFonts w:cs="Calibri" w:cstheme="minorHAnsi"/>
          <w:b/>
          <w:sz w:val="22"/>
          <w:szCs w:val="22"/>
          <w:u w:val="single"/>
          <w:shd w:fill="auto" w:val="clear"/>
        </w:rPr>
        <w:t>1.5.</w:t>
      </w:r>
      <w:r>
        <w:rPr>
          <w:rFonts w:cs="Calibri" w:cstheme="minorHAnsi"/>
          <w:sz w:val="22"/>
          <w:szCs w:val="22"/>
          <w:u w:val="single"/>
          <w:shd w:fill="auto" w:val="clear"/>
        </w:rPr>
        <w:t xml:space="preserve"> </w:t>
      </w:r>
      <w:r>
        <w:rPr>
          <w:b/>
          <w:sz w:val="22"/>
          <w:szCs w:val="22"/>
          <w:u w:val="single"/>
          <w:shd w:fill="auto" w:val="clear"/>
        </w:rPr>
        <w:t>Χρηματοδότηση της σύμβασης</w:t>
      </w:r>
    </w:p>
    <w:p>
      <w:pPr>
        <w:pStyle w:val="Normal"/>
        <w:spacing w:before="0" w:after="0"/>
        <w:jc w:val="both"/>
        <w:rPr/>
      </w:pPr>
      <w:r>
        <w:rPr>
          <w:rStyle w:val="Fontstyle01"/>
          <w:rFonts w:cs="Calibri" w:cstheme="minorHAnsi"/>
          <w:sz w:val="22"/>
          <w:szCs w:val="22"/>
          <w:shd w:fill="auto" w:val="clear"/>
        </w:rPr>
        <w:t>Φορέας χρηματοδότησης της παρούσας σύμβασης είναι το Γενικό Νοσοκομείο Σερρών μέσω του</w:t>
      </w:r>
      <w:r>
        <w:rPr>
          <w:rFonts w:cs="Calibri" w:cstheme="minorHAnsi"/>
          <w:color w:val="000000"/>
          <w:sz w:val="22"/>
          <w:szCs w:val="22"/>
          <w:shd w:fill="auto" w:val="clear"/>
        </w:rPr>
        <w:br/>
      </w:r>
      <w:r>
        <w:rPr>
          <w:rStyle w:val="Fontstyle01"/>
          <w:rFonts w:cs="Calibri" w:cstheme="minorHAnsi"/>
          <w:sz w:val="22"/>
          <w:szCs w:val="22"/>
          <w:shd w:fill="auto" w:val="clear"/>
        </w:rPr>
        <w:t xml:space="preserve">τακτικού του προϋπολογισμού. Η δαπάνη για την εν λόγω σύμβαση βαρύνει τον </w:t>
      </w:r>
      <w:r>
        <w:rPr>
          <w:rStyle w:val="Fontstyle01"/>
          <w:rFonts w:cs="Calibri" w:cstheme="minorHAnsi"/>
          <w:b/>
          <w:sz w:val="22"/>
          <w:szCs w:val="22"/>
          <w:shd w:fill="auto" w:val="clear"/>
        </w:rPr>
        <w:t>Κ.Α.Ε</w:t>
      </w:r>
      <w:r>
        <w:rPr>
          <w:rStyle w:val="Fontstyle01"/>
          <w:rFonts w:eastAsia="Calibri"/>
          <w:b/>
          <w:kern w:val="0"/>
          <w:sz w:val="22"/>
          <w:szCs w:val="22"/>
          <w:shd w:fill="auto" w:val="clear"/>
          <w:lang w:val="el-GR" w:eastAsia="en-US" w:bidi="ar-SA"/>
        </w:rPr>
        <w:t>. 1359.01</w:t>
      </w:r>
    </w:p>
    <w:p>
      <w:pPr>
        <w:pStyle w:val="Normal"/>
        <w:spacing w:lineRule="auto" w:line="240" w:before="0" w:after="0"/>
        <w:jc w:val="both"/>
        <w:rPr>
          <w:rFonts w:ascii="Calibri" w:hAnsi="Calibri" w:cs="Calibri" w:cstheme="minorHAnsi"/>
          <w:sz w:val="22"/>
          <w:szCs w:val="22"/>
        </w:rPr>
      </w:pPr>
      <w:r>
        <w:rPr>
          <w:rFonts w:cs="Calibri" w:cstheme="minorHAnsi"/>
          <w:sz w:val="22"/>
          <w:szCs w:val="22"/>
        </w:rPr>
      </w:r>
    </w:p>
    <w:p>
      <w:pPr>
        <w:pStyle w:val="Normal"/>
        <w:spacing w:lineRule="auto" w:line="240" w:before="0" w:after="0"/>
        <w:jc w:val="both"/>
        <w:rPr>
          <w:rFonts w:ascii="Calibri" w:hAnsi="Calibri"/>
          <w:sz w:val="22"/>
          <w:szCs w:val="22"/>
        </w:rPr>
      </w:pPr>
      <w:r>
        <w:rPr>
          <w:rFonts w:cs="Calibri" w:cstheme="minorHAnsi"/>
          <w:b/>
          <w:bCs/>
          <w:sz w:val="22"/>
          <w:szCs w:val="22"/>
        </w:rPr>
        <w:t>2. Απαιτήσεις συμμετοχής:</w:t>
      </w:r>
    </w:p>
    <w:p>
      <w:pPr>
        <w:pStyle w:val="Normal"/>
        <w:spacing w:lineRule="auto" w:line="240" w:before="0" w:after="0"/>
        <w:jc w:val="both"/>
        <w:rPr>
          <w:rFonts w:ascii="Calibri" w:hAnsi="Calibri"/>
          <w:sz w:val="22"/>
          <w:szCs w:val="22"/>
        </w:rPr>
      </w:pPr>
      <w:r>
        <w:rPr>
          <w:rFonts w:cs="Calibri" w:cstheme="minorHAnsi"/>
          <w:b/>
          <w:sz w:val="22"/>
          <w:szCs w:val="22"/>
          <w:u w:val="single"/>
        </w:rPr>
        <w:t xml:space="preserve"> </w:t>
      </w:r>
      <w:r>
        <w:rPr>
          <w:rFonts w:cs="Calibri" w:cstheme="minorHAnsi"/>
          <w:b/>
          <w:sz w:val="22"/>
          <w:szCs w:val="22"/>
          <w:u w:val="single"/>
        </w:rPr>
        <w:t>- Προϋποθέσεις συμμετοχής</w:t>
      </w:r>
    </w:p>
    <w:p>
      <w:pPr>
        <w:pStyle w:val="ListParagraph"/>
        <w:numPr>
          <w:ilvl w:val="0"/>
          <w:numId w:val="2"/>
        </w:numPr>
        <w:jc w:val="both"/>
        <w:rPr>
          <w:rFonts w:ascii="Calibri" w:hAnsi="Calibri"/>
          <w:sz w:val="22"/>
          <w:szCs w:val="22"/>
        </w:rPr>
      </w:pPr>
      <w:r>
        <w:rPr>
          <w:rFonts w:cs="Calibri" w:ascii="Calibri" w:hAnsi="Calibri" w:asciiTheme="minorHAnsi" w:cstheme="minorHAnsi" w:hAnsiTheme="minorHAnsi"/>
          <w:sz w:val="22"/>
          <w:szCs w:val="22"/>
        </w:rPr>
        <w:t>Να μην υπάρχει σε βάρος του οικονομικού φορέα αμετάκλητη καταδικαστική απόφαση για έναν από τους λόγους που προβλέπονται στην παρ. 1 του άρθρου 73 του ν. 4412/2016,</w:t>
      </w:r>
    </w:p>
    <w:p>
      <w:pPr>
        <w:pStyle w:val="ListParagraph"/>
        <w:numPr>
          <w:ilvl w:val="0"/>
          <w:numId w:val="2"/>
        </w:numPr>
        <w:jc w:val="both"/>
        <w:rPr>
          <w:rFonts w:ascii="Calibri" w:hAnsi="Calibri"/>
          <w:sz w:val="22"/>
          <w:szCs w:val="22"/>
        </w:rPr>
      </w:pPr>
      <w:r>
        <w:rPr>
          <w:rFonts w:cs="Calibri" w:ascii="Calibri" w:hAnsi="Calibri" w:asciiTheme="minorHAnsi" w:cstheme="minorHAnsi" w:hAnsiTheme="minorHAnsi"/>
          <w:sz w:val="22"/>
          <w:szCs w:val="22"/>
        </w:rPr>
        <w:t>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pPr>
        <w:pStyle w:val="ListParagraph"/>
        <w:numPr>
          <w:ilvl w:val="0"/>
          <w:numId w:val="2"/>
        </w:numPr>
        <w:jc w:val="both"/>
        <w:rPr>
          <w:rFonts w:ascii="Calibri" w:hAnsi="Calibri"/>
          <w:sz w:val="22"/>
          <w:szCs w:val="22"/>
        </w:rPr>
      </w:pPr>
      <w:r>
        <w:rPr>
          <w:rFonts w:cs="Calibri" w:ascii="Calibri" w:hAnsi="Calibri" w:asciiTheme="minorHAnsi" w:cstheme="minorHAnsi" w:hAnsiTheme="minorHAnsi"/>
          <w:sz w:val="22"/>
          <w:szCs w:val="22"/>
        </w:rPr>
        <w:t>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pPr>
        <w:pStyle w:val="ListParagraph"/>
        <w:numPr>
          <w:ilvl w:val="0"/>
          <w:numId w:val="2"/>
        </w:numPr>
        <w:jc w:val="both"/>
        <w:rPr>
          <w:rFonts w:ascii="Calibri" w:hAnsi="Calibri"/>
          <w:sz w:val="22"/>
          <w:szCs w:val="22"/>
        </w:rPr>
      </w:pPr>
      <w:r>
        <w:rPr>
          <w:rFonts w:cs="Calibri" w:ascii="Calibri" w:hAnsi="Calibri" w:asciiTheme="minorHAnsi" w:cstheme="minorHAnsi" w:hAnsiTheme="minorHAnsi"/>
          <w:sz w:val="22"/>
          <w:szCs w:val="22"/>
        </w:rPr>
        <w:t>Να μην έχει αθετήσει ο οικονομικός φορέας τις ισχύουσες υποχρεώσεις που προβλέπονται στις παρ. 2 και 5του άρθρου 18 του ν.4412/2016, σύμφωνα με τα ειδικότερα προβλεπόμενα στην παρ. 4 περ. α του άρθρου 73 του ν.4412/2016.</w:t>
      </w:r>
    </w:p>
    <w:p>
      <w:pPr>
        <w:pStyle w:val="ListParagraph"/>
        <w:numPr>
          <w:ilvl w:val="0"/>
          <w:numId w:val="2"/>
        </w:numPr>
        <w:jc w:val="both"/>
        <w:rPr>
          <w:rFonts w:ascii="Calibri" w:hAnsi="Calibri"/>
          <w:sz w:val="22"/>
          <w:szCs w:val="22"/>
        </w:rPr>
      </w:pPr>
      <w:r>
        <w:rPr>
          <w:rFonts w:cs="Calibri" w:ascii="Calibri" w:hAnsi="Calibri" w:asciiTheme="minorHAnsi" w:cstheme="minorHAnsi" w:hAnsiTheme="minorHAnsi"/>
          <w:sz w:val="22"/>
          <w:szCs w:val="22"/>
        </w:rPr>
        <w:t>Να μην έχει διαπράξει σοβαρό επαγγελματικό παράπτωμα, οποίο θέτει εν αμφιβόλω την ακεραιότητά του, σύμφωνα με τα ειδικότερα προβλεπόμενα στην παρ. 4 περ. θ του άρθρου 73 του ν.4412/2016. Ως σοβαρό επαγγελματικό παράπτωμα νοούνται, ιδίως, οι λόγοι που αναφέρονται στην περίπτωση γ της παρ. 2 του άρθρου 68 του ν. 3863/2010 ήτοι ιδίως: αα) Η επιβολή σε βάρος τους, μέσα σε χρονικό διάστημα δύο (2)ετών πριν από τη λήξη της προθεσμίας υποβολής της προσφοράς, τρεις (3) πράξεις επιβολής προστίμου απότα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τρεις(3) διενεργηθέντες ελέγχους ή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Η αναθέτουσα αρχή μπορεί να αποκλείσει από τη σύναψη της σύμβασης τις υποψήφιες εταιρείες: αα) οι οποίες έχουν κηρυχθεί έκπτωτες κατ’ εφαρμογή της παραγράφου 7 του παρόντος μέσα σε χρονικό διάστημα τριών (3) ετών πριν από την ημερομηνία λήξης της προθεσμίας υποβολής της προσφοράς ή ββ)στις οποίες έχει επιβληθεί η κύρωση της προσωρινής διακοπής της λειτουργίας συγκεκριμένης παραγωγικής διαδικασίας ή τμήματος ή τμημάτων ή του συνόλου της επιχείρησης ή εκμετάλλευσης κατ’ εφαρμογή της παρ. 1Β του άρθρου 24 του ν. 3996/2011 (Α΄ 170) μέσα σε χρονικό διάστημα τριών (3) ετών πριν από τηνημερομηνία λήξης της προθεσμίας υποβολής της προσφοράς.</w:t>
      </w:r>
    </w:p>
    <w:p>
      <w:pPr>
        <w:pStyle w:val="ListParagraph"/>
        <w:numPr>
          <w:ilvl w:val="0"/>
          <w:numId w:val="2"/>
        </w:numPr>
        <w:spacing w:before="0" w:after="240"/>
        <w:contextualSpacing/>
        <w:jc w:val="both"/>
        <w:rPr>
          <w:rFonts w:ascii="Calibri" w:hAnsi="Calibri"/>
          <w:sz w:val="22"/>
          <w:szCs w:val="22"/>
        </w:rPr>
      </w:pPr>
      <w:r>
        <w:rPr>
          <w:rFonts w:cs="Calibri" w:ascii="Calibri" w:hAnsi="Calibri" w:asciiTheme="minorHAnsi" w:cstheme="minorHAnsi" w:hAnsiTheme="minorHAnsi"/>
          <w:sz w:val="22"/>
          <w:szCs w:val="22"/>
        </w:rPr>
        <w:t>Να μην τους έχει επιβληθεί η ποινή αποκλεισμού από διαγωνισμούς και γενικότερα από τη σύναψη δημοσίων συμβάσεων, με αμετάκλητη απόφαση αρμόδιου οργάνου.</w:t>
      </w:r>
    </w:p>
    <w:p>
      <w:pPr>
        <w:pStyle w:val="ListParagraph"/>
        <w:numPr>
          <w:ilvl w:val="0"/>
          <w:numId w:val="2"/>
        </w:numPr>
        <w:spacing w:before="0" w:after="240"/>
        <w:contextualSpacing/>
        <w:jc w:val="both"/>
        <w:rPr>
          <w:rFonts w:ascii="Calibri" w:hAnsi="Calibri"/>
          <w:sz w:val="22"/>
          <w:szCs w:val="22"/>
        </w:rPr>
      </w:pPr>
      <w:r>
        <w:rPr>
          <w:rFonts w:cs="Calibri" w:ascii="Calibri" w:hAnsi="Calibri"/>
          <w:sz w:val="22"/>
          <w:szCs w:val="22"/>
          <w:lang w:val="el-GR"/>
        </w:rPr>
        <w:t xml:space="preserve">Γλώσσα: </w:t>
      </w:r>
      <w:r>
        <w:rPr>
          <w:rFonts w:ascii="Calibri" w:hAnsi="Calibri"/>
          <w:sz w:val="22"/>
          <w:szCs w:val="22"/>
        </w:rPr>
        <w:t xml:space="preserve">Τα έγγραφα της σύμβασης έχουν συνταχθεί στην ελληνική γλώσσα. </w:t>
      </w:r>
    </w:p>
    <w:p>
      <w:pPr>
        <w:pStyle w:val="Normal"/>
        <w:numPr>
          <w:ilvl w:val="0"/>
          <w:numId w:val="0"/>
        </w:numPr>
        <w:ind w:left="720" w:hanging="0"/>
        <w:rPr/>
      </w:pPr>
      <w:r>
        <w:rPr>
          <w:rFonts w:eastAsia="Times New Roman" w:cs="Calibri"/>
          <w:color w:val="auto"/>
          <w:sz w:val="22"/>
          <w:szCs w:val="22"/>
          <w:lang w:val="el-GR" w:eastAsia="zh-CN" w:bidi="ar-SA"/>
        </w:rPr>
        <w:t xml:space="preserve">Οι </w:t>
      </w:r>
      <w:r>
        <w:rPr>
          <w:rFonts w:eastAsia="Times New Roman" w:cs="Calibri"/>
          <w:b/>
          <w:color w:val="auto"/>
          <w:sz w:val="22"/>
          <w:szCs w:val="22"/>
          <w:u w:val="single"/>
          <w:lang w:val="el-GR" w:eastAsia="zh-CN" w:bidi="ar-SA"/>
        </w:rPr>
        <w:t>προσφορές,</w:t>
      </w:r>
      <w:r>
        <w:rPr>
          <w:rFonts w:eastAsia="Times New Roman" w:cs="Calibri"/>
          <w:color w:val="auto"/>
          <w:sz w:val="22"/>
          <w:szCs w:val="22"/>
          <w:lang w:val="el-GR" w:eastAsia="zh-CN" w:bidi="ar-SA"/>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Style13"/>
          <w:rFonts w:eastAsia="Times New Roman" w:cs="Calibri"/>
          <w:color w:val="auto"/>
          <w:sz w:val="22"/>
          <w:szCs w:val="22"/>
          <w:lang w:val="el-GR" w:eastAsia="zh-CN" w:bidi="ar-SA"/>
        </w:rPr>
        <w:t xml:space="preserve"> </w:t>
      </w:r>
      <w:r>
        <w:rPr>
          <w:rFonts w:eastAsia="Times New Roman" w:cs="Calibri"/>
          <w:color w:val="auto"/>
          <w:sz w:val="22"/>
          <w:szCs w:val="22"/>
          <w:lang w:val="el-GR" w:eastAsia="zh-CN" w:bidi="ar-SA"/>
        </w:rPr>
        <w:t xml:space="preserve">συντάσσονται στην ελληνική γλώσσα ή συνοδεύονται από επίσημη μετάφρασή τους στην ελληνική γλώσσα. </w:t>
      </w:r>
    </w:p>
    <w:p>
      <w:pPr>
        <w:pStyle w:val="Normal"/>
        <w:numPr>
          <w:ilvl w:val="0"/>
          <w:numId w:val="0"/>
        </w:numPr>
        <w:ind w:left="720" w:hanging="0"/>
        <w:rPr>
          <w:rFonts w:ascii="Calibri" w:hAnsi="Calibri"/>
          <w:sz w:val="22"/>
          <w:szCs w:val="22"/>
        </w:rPr>
      </w:pPr>
      <w:r>
        <w:rPr>
          <w:sz w:val="22"/>
          <w:szCs w:val="22"/>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pPr>
        <w:pStyle w:val="Normal"/>
        <w:numPr>
          <w:ilvl w:val="0"/>
          <w:numId w:val="0"/>
        </w:numPr>
        <w:ind w:left="720" w:hanging="0"/>
        <w:rPr>
          <w:rFonts w:ascii="Calibri" w:hAnsi="Calibri"/>
          <w:sz w:val="22"/>
          <w:szCs w:val="22"/>
        </w:rPr>
      </w:pPr>
      <w:r>
        <w:rPr>
          <w:iCs/>
          <w:sz w:val="22"/>
          <w:szCs w:val="22"/>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sz w:val="22"/>
          <w:szCs w:val="22"/>
        </w:rPr>
        <w:t xml:space="preserve">. </w:t>
      </w:r>
    </w:p>
    <w:p>
      <w:pPr>
        <w:pStyle w:val="Normal"/>
        <w:numPr>
          <w:ilvl w:val="0"/>
          <w:numId w:val="0"/>
        </w:numPr>
        <w:ind w:left="720" w:hanging="0"/>
        <w:rPr>
          <w:rFonts w:ascii="Calibri" w:hAnsi="Calibri"/>
          <w:sz w:val="22"/>
          <w:szCs w:val="22"/>
        </w:rPr>
      </w:pPr>
      <w:r>
        <w:rPr>
          <w:rFonts w:cs="Calibri" w:cstheme="minorHAnsi"/>
          <w:sz w:val="22"/>
          <w:szCs w:val="22"/>
        </w:rPr>
        <w:t>Κάθε μορφής επικοινωνία με την αναθέτουσα αρχή, καθώς και μεταξύ αυτής και του αναδόχου, θα γίνονται υποχρεωτικά στην ελληνική γλώσσα.</w:t>
      </w:r>
    </w:p>
    <w:p>
      <w:pPr>
        <w:pStyle w:val="Normal"/>
        <w:spacing w:lineRule="auto" w:line="240" w:before="0" w:after="0"/>
        <w:jc w:val="both"/>
        <w:rPr>
          <w:rFonts w:ascii="Calibri" w:hAnsi="Calibri"/>
          <w:sz w:val="22"/>
          <w:szCs w:val="22"/>
        </w:rPr>
      </w:pPr>
      <w:r>
        <w:rPr>
          <w:rFonts w:cs="Calibri" w:cstheme="minorHAnsi"/>
          <w:b/>
          <w:bCs/>
          <w:sz w:val="22"/>
          <w:szCs w:val="22"/>
        </w:rPr>
        <w:t>3. Κατάρτιση και υποβολή προσφορών</w:t>
      </w:r>
    </w:p>
    <w:p>
      <w:pPr>
        <w:pStyle w:val="Normal"/>
        <w:spacing w:lineRule="auto" w:line="240" w:before="0" w:after="0"/>
        <w:jc w:val="both"/>
        <w:rPr>
          <w:rFonts w:ascii="Calibri" w:hAnsi="Calibri"/>
          <w:sz w:val="22"/>
          <w:szCs w:val="22"/>
        </w:rPr>
      </w:pPr>
      <w:r>
        <w:rPr>
          <w:rFonts w:cs="Calibri" w:cstheme="minorHAnsi"/>
          <w:sz w:val="22"/>
          <w:szCs w:val="22"/>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Pr>
          <w:rFonts w:cs="Calibri" w:cstheme="minorHAnsi"/>
          <w:color w:val="C00000"/>
          <w:sz w:val="22"/>
          <w:szCs w:val="22"/>
        </w:rPr>
        <w:tab/>
      </w:r>
    </w:p>
    <w:p>
      <w:pPr>
        <w:pStyle w:val="Normal"/>
        <w:spacing w:lineRule="auto" w:line="240" w:before="0" w:after="0"/>
        <w:jc w:val="both"/>
        <w:rPr>
          <w:rFonts w:cs="Calibri" w:cstheme="minorHAnsi"/>
          <w:color w:val="C00000"/>
        </w:rPr>
      </w:pPr>
      <w:r>
        <w:rPr>
          <w:rFonts w:cs="Calibri" w:cstheme="minorHAnsi"/>
          <w:color w:val="C00000"/>
        </w:rPr>
      </w:r>
    </w:p>
    <w:tbl>
      <w:tblPr>
        <w:tblStyle w:val="a4"/>
        <w:tblW w:w="9497" w:type="dxa"/>
        <w:jc w:val="left"/>
        <w:tblInd w:w="534" w:type="dxa"/>
        <w:tblLayout w:type="fixed"/>
        <w:tblCellMar>
          <w:top w:w="0" w:type="dxa"/>
          <w:left w:w="108" w:type="dxa"/>
          <w:bottom w:w="0" w:type="dxa"/>
          <w:right w:w="108" w:type="dxa"/>
        </w:tblCellMar>
        <w:tblLook w:firstRow="1" w:noVBand="1" w:lastRow="0" w:firstColumn="1" w:lastColumn="0" w:noHBand="0" w:val="04a0"/>
      </w:tblPr>
      <w:tblGrid>
        <w:gridCol w:w="9497"/>
      </w:tblGrid>
      <w:tr>
        <w:trPr>
          <w:trHeight w:val="1291" w:hRule="atLeast"/>
        </w:trPr>
        <w:tc>
          <w:tcPr>
            <w:tcW w:w="9497" w:type="dxa"/>
            <w:tcBorders>
              <w:top w:val="nil"/>
              <w:left w:val="nil"/>
              <w:bottom w:val="nil"/>
              <w:right w:val="nil"/>
            </w:tcBorders>
            <w:vAlign w:val="center"/>
          </w:tcPr>
          <w:p>
            <w:pPr>
              <w:pStyle w:val="Normal"/>
              <w:widowControl w:val="false"/>
              <w:suppressAutoHyphens w:val="true"/>
              <w:spacing w:lineRule="auto" w:line="240" w:before="0" w:after="0"/>
              <w:jc w:val="center"/>
              <w:rPr>
                <w:rFonts w:cs="Calibri"/>
                <w:b/>
                <w:b/>
                <w:bCs/>
                <w:sz w:val="18"/>
                <w:szCs w:val="18"/>
              </w:rPr>
            </w:pPr>
            <w:r>
              <w:rPr>
                <w:rFonts w:eastAsia="Calibri" w:cs="Calibri" w:cstheme="minorHAnsi"/>
                <w:b/>
                <w:bCs/>
                <w:kern w:val="0"/>
                <w:sz w:val="18"/>
                <w:szCs w:val="18"/>
                <w:lang w:val="el-GR" w:eastAsia="en-US" w:bidi="ar-SA"/>
              </w:rPr>
              <w:t>ΠΡΟΣ</w:t>
            </w:r>
          </w:p>
          <w:p>
            <w:pPr>
              <w:pStyle w:val="Normal"/>
              <w:widowControl w:val="false"/>
              <w:suppressAutoHyphens w:val="true"/>
              <w:spacing w:lineRule="auto" w:line="240" w:before="0" w:after="0"/>
              <w:jc w:val="center"/>
              <w:rPr>
                <w:rFonts w:cs="Calibri"/>
                <w:b/>
                <w:b/>
                <w:bCs/>
                <w:sz w:val="18"/>
                <w:szCs w:val="18"/>
              </w:rPr>
            </w:pPr>
            <w:r>
              <w:rPr>
                <w:rFonts w:eastAsia="Calibri" w:cs="Calibri" w:cstheme="minorHAnsi"/>
                <w:b/>
                <w:bCs/>
                <w:kern w:val="0"/>
                <w:sz w:val="18"/>
                <w:szCs w:val="18"/>
                <w:lang w:val="el-GR" w:eastAsia="en-US" w:bidi="ar-SA"/>
              </w:rPr>
              <w:t xml:space="preserve"> </w:t>
            </w:r>
            <w:r>
              <w:rPr>
                <w:rFonts w:eastAsia="Calibri" w:cs="Calibri" w:cstheme="minorHAnsi"/>
                <w:b/>
                <w:bCs/>
                <w:kern w:val="0"/>
                <w:sz w:val="18"/>
                <w:szCs w:val="18"/>
                <w:lang w:val="el-GR" w:eastAsia="en-US" w:bidi="ar-SA"/>
              </w:rPr>
              <w:t>ΓΕΝΙΚΟ ΝΟΣΟΚΟΜΕΙΟ ΣΕΡΡΩΝ</w:t>
            </w:r>
          </w:p>
          <w:p>
            <w:pPr>
              <w:pStyle w:val="Normal"/>
              <w:widowControl w:val="false"/>
              <w:suppressAutoHyphens w:val="true"/>
              <w:spacing w:lineRule="auto" w:line="240" w:before="0" w:after="0"/>
              <w:jc w:val="center"/>
              <w:rPr>
                <w:rFonts w:cs="Calibri"/>
                <w:sz w:val="18"/>
                <w:szCs w:val="18"/>
              </w:rPr>
            </w:pPr>
            <w:r>
              <w:rPr>
                <w:rFonts w:eastAsia="Calibri" w:cs="Calibri" w:cstheme="minorHAnsi"/>
                <w:kern w:val="0"/>
                <w:sz w:val="18"/>
                <w:szCs w:val="18"/>
                <w:lang w:val="el-GR" w:eastAsia="el-GR" w:bidi="ar-SA"/>
              </w:rPr>
              <w:t>2</w:t>
            </w:r>
            <w:r>
              <w:rPr>
                <w:rFonts w:eastAsia="Calibri" w:cs="Calibri" w:cstheme="minorHAnsi"/>
                <w:kern w:val="0"/>
                <w:sz w:val="18"/>
                <w:szCs w:val="18"/>
                <w:vertAlign w:val="superscript"/>
                <w:lang w:val="el-GR" w:eastAsia="el-GR" w:bidi="ar-SA"/>
              </w:rPr>
              <w:t xml:space="preserve">ο </w:t>
            </w:r>
            <w:r>
              <w:rPr>
                <w:rFonts w:eastAsia="Calibri" w:cs="Calibri" w:cstheme="minorHAnsi"/>
                <w:kern w:val="0"/>
                <w:sz w:val="18"/>
                <w:szCs w:val="18"/>
                <w:lang w:val="el-GR" w:eastAsia="el-GR" w:bidi="ar-SA"/>
              </w:rPr>
              <w:t>χλμ. Ε.Ο. Σερρών-Δράμας, Τ.Κ 62 100, Τμήμα Προμηθειών</w:t>
            </w:r>
          </w:p>
          <w:p>
            <w:pPr>
              <w:pStyle w:val="Normal"/>
              <w:widowControl w:val="false"/>
              <w:suppressAutoHyphens w:val="true"/>
              <w:spacing w:lineRule="auto" w:line="240" w:before="0" w:after="0"/>
              <w:jc w:val="center"/>
              <w:rPr>
                <w:rFonts w:cs="Calibri"/>
                <w:sz w:val="18"/>
                <w:szCs w:val="18"/>
              </w:rPr>
            </w:pPr>
            <w:r>
              <w:rPr>
                <w:rFonts w:eastAsia="Calibri" w:cs="Calibri" w:cstheme="minorHAnsi"/>
                <w:bCs/>
                <w:kern w:val="0"/>
                <w:sz w:val="18"/>
                <w:szCs w:val="18"/>
                <w:lang w:val="el-GR" w:eastAsia="en-US" w:bidi="ar-SA"/>
              </w:rPr>
              <w:t xml:space="preserve">(κατατίθεται στη </w:t>
            </w:r>
            <w:r>
              <w:rPr>
                <w:rFonts w:eastAsia="Calibri" w:cs="Calibri" w:cstheme="minorHAnsi"/>
                <w:kern w:val="0"/>
                <w:sz w:val="18"/>
                <w:szCs w:val="18"/>
                <w:lang w:val="el-GR" w:eastAsia="en-US" w:bidi="ar-SA"/>
              </w:rPr>
              <w:t>Γραμματεία</w:t>
            </w:r>
            <w:r>
              <w:rPr>
                <w:rFonts w:eastAsia="Calibri" w:cs="Calibri" w:cstheme="minorHAnsi"/>
                <w:bCs/>
                <w:kern w:val="0"/>
                <w:sz w:val="18"/>
                <w:szCs w:val="18"/>
                <w:lang w:val="el-GR" w:eastAsia="en-US" w:bidi="ar-SA"/>
              </w:rPr>
              <w:t>)</w:t>
            </w:r>
          </w:p>
          <w:p>
            <w:pPr>
              <w:pStyle w:val="Normal"/>
              <w:widowControl w:val="false"/>
              <w:suppressAutoHyphens w:val="true"/>
              <w:spacing w:lineRule="auto" w:line="240" w:before="0" w:after="0"/>
              <w:jc w:val="center"/>
              <w:rPr>
                <w:rFonts w:cs="Calibri" w:cstheme="minorHAnsi"/>
                <w:b/>
                <w:b/>
                <w:sz w:val="18"/>
                <w:szCs w:val="18"/>
              </w:rPr>
            </w:pPr>
            <w:r>
              <w:rPr>
                <w:rFonts w:cs="Calibri" w:cstheme="minorHAnsi"/>
                <w:b/>
                <w:sz w:val="22"/>
                <w:szCs w:val="18"/>
              </w:rPr>
            </w:r>
          </w:p>
          <w:p>
            <w:pPr>
              <w:pStyle w:val="Normal"/>
              <w:widowControl w:val="false"/>
              <w:tabs>
                <w:tab w:val="left" w:pos="720" w:leader="none"/>
              </w:tabs>
              <w:suppressAutoHyphens w:val="true"/>
              <w:spacing w:lineRule="auto" w:line="240" w:before="0" w:after="0"/>
              <w:jc w:val="center"/>
              <w:rPr>
                <w:rFonts w:cs="Calibri"/>
                <w:b/>
                <w:b/>
                <w:sz w:val="18"/>
                <w:szCs w:val="18"/>
              </w:rPr>
            </w:pPr>
            <w:r>
              <w:rPr>
                <w:rFonts w:eastAsia="Calibri" w:cs="Calibri" w:cstheme="minorHAnsi"/>
                <w:b/>
                <w:kern w:val="0"/>
                <w:sz w:val="18"/>
                <w:szCs w:val="18"/>
                <w:lang w:val="el-GR" w:eastAsia="en-US" w:bidi="ar-SA"/>
              </w:rPr>
              <w:t>ΠΡΟΣΦΟΡΑ</w:t>
            </w:r>
          </w:p>
          <w:p>
            <w:pPr>
              <w:pStyle w:val="Normal"/>
              <w:widowControl w:val="false"/>
              <w:tabs>
                <w:tab w:val="left" w:pos="720" w:leader="none"/>
              </w:tabs>
              <w:suppressAutoHyphens w:val="true"/>
              <w:spacing w:lineRule="auto" w:line="276" w:before="0" w:after="0"/>
              <w:jc w:val="center"/>
              <w:rPr>
                <w:rFonts w:cs="Calibri"/>
                <w:sz w:val="18"/>
                <w:szCs w:val="18"/>
              </w:rPr>
            </w:pPr>
            <w:r>
              <w:rPr>
                <w:rFonts w:eastAsia="Calibri" w:cs="Calibri" w:cstheme="minorHAnsi"/>
                <w:kern w:val="0"/>
                <w:sz w:val="18"/>
                <w:szCs w:val="18"/>
                <w:lang w:val="el-GR" w:bidi="ar-SA"/>
              </w:rPr>
              <w:t>για την</w:t>
            </w:r>
            <w:r>
              <w:rPr>
                <w:rFonts w:eastAsia="Calibri" w:cs="Calibri" w:cstheme="minorHAnsi"/>
                <w:kern w:val="0"/>
                <w:sz w:val="18"/>
                <w:szCs w:val="18"/>
                <w:shd w:fill="auto" w:val="clear"/>
                <w:lang w:val="el-GR" w:bidi="ar-SA"/>
              </w:rPr>
              <w:t xml:space="preserve"> υπ’αρ. 2478/08-02-2023 Π</w:t>
            </w:r>
            <w:r>
              <w:rPr>
                <w:rFonts w:eastAsia="Calibri" w:cs="Calibri" w:cstheme="minorHAnsi"/>
                <w:kern w:val="0"/>
                <w:sz w:val="18"/>
                <w:szCs w:val="18"/>
                <w:lang w:val="el-GR" w:bidi="ar-SA"/>
              </w:rPr>
              <w:t>ρόσκληση Εκδήλωσης Ενδιαφέροντος για την προμήθεια ειδών</w:t>
            </w:r>
            <w:r>
              <w:rPr>
                <w:rFonts w:eastAsia="Calibri" w:cs="Calibri" w:cstheme="minorHAnsi"/>
                <w:bCs/>
                <w:kern w:val="0"/>
                <w:sz w:val="18"/>
                <w:szCs w:val="18"/>
                <w:lang w:val="el-GR" w:bidi="ar-SA"/>
              </w:rPr>
              <w:t xml:space="preserve">: </w:t>
            </w:r>
            <w:r>
              <w:rPr>
                <w:rFonts w:eastAsia="Calibri" w:cs="Calibri" w:cstheme="minorHAnsi"/>
                <w:bCs/>
                <w:color w:val="000000"/>
                <w:kern w:val="0"/>
                <w:sz w:val="18"/>
                <w:szCs w:val="18"/>
                <w:lang w:val="el-GR" w:bidi="ar-SA"/>
              </w:rPr>
              <w:t xml:space="preserve">Τμήμα </w:t>
            </w:r>
            <w:r>
              <w:rPr>
                <w:rFonts w:eastAsia="Calibri" w:cs="Calibri" w:cstheme="minorHAnsi"/>
                <w:bCs/>
                <w:kern w:val="0"/>
                <w:sz w:val="18"/>
                <w:szCs w:val="18"/>
                <w:lang w:val="el-GR" w:bidi="ar-SA"/>
              </w:rPr>
              <w:t>1</w:t>
            </w:r>
            <w:r>
              <w:rPr>
                <w:rFonts w:eastAsia="Calibri" w:cs="Calibri" w:cstheme="minorHAnsi"/>
                <w:b/>
                <w:bCs/>
                <w:kern w:val="0"/>
                <w:sz w:val="18"/>
                <w:szCs w:val="18"/>
                <w:lang w:val="el-GR" w:bidi="ar-SA"/>
              </w:rPr>
              <w:t>)</w:t>
            </w:r>
            <w:r>
              <w:rPr>
                <w:rFonts w:eastAsia="Calibri" w:cs="Calibri" w:cstheme="minorHAnsi"/>
                <w:bCs/>
                <w:kern w:val="0"/>
                <w:sz w:val="18"/>
                <w:szCs w:val="18"/>
                <w:lang w:val="el-GR" w:bidi="ar-SA"/>
              </w:rPr>
              <w:t xml:space="preserve"> </w:t>
            </w:r>
            <w:r>
              <w:rPr>
                <w:rFonts w:eastAsia="Calibri" w:cs="Calibri" w:cstheme="minorHAnsi"/>
                <w:b/>
                <w:bCs/>
                <w:i w:val="false"/>
                <w:strike w:val="false"/>
                <w:dstrike w:val="false"/>
                <w:outline w:val="false"/>
                <w:shadow w:val="false"/>
                <w:kern w:val="0"/>
                <w:sz w:val="18"/>
                <w:szCs w:val="18"/>
                <w:u w:val="single"/>
                <w:em w:val="none"/>
                <w:lang w:val="el-GR" w:bidi="ar-SA"/>
              </w:rPr>
              <w:t xml:space="preserve">ΑΝΑΛΥΤΗΣ ΟΥΡΩΝ ΕΦΗΜΕΡΕΙΟ (Αντιδραστήρια, calibrators, controls με </w:t>
            </w:r>
            <w:r>
              <w:rPr>
                <w:rFonts w:eastAsia="Times New Roman" w:cs="Calibri"/>
                <w:b/>
                <w:bCs/>
                <w:i w:val="false"/>
                <w:strike w:val="false"/>
                <w:dstrike w:val="false"/>
                <w:outline w:val="false"/>
                <w:shadow w:val="false"/>
                <w:color w:val="000000"/>
                <w:kern w:val="0"/>
                <w:sz w:val="18"/>
                <w:szCs w:val="18"/>
                <w:u w:val="single"/>
                <w:shd w:fill="auto" w:val="clear"/>
                <w:em w:val="none"/>
                <w:lang w:val="el-GR" w:eastAsia="zh-CN" w:bidi="ar-SA"/>
              </w:rPr>
              <w:t xml:space="preserve">δωρεάν </w:t>
            </w:r>
            <w:r>
              <w:rPr>
                <w:rFonts w:eastAsia="Calibri" w:cs="Calibri" w:cstheme="minorHAnsi"/>
                <w:b/>
                <w:bCs/>
                <w:i w:val="false"/>
                <w:strike w:val="false"/>
                <w:dstrike w:val="false"/>
                <w:outline w:val="false"/>
                <w:shadow w:val="false"/>
                <w:kern w:val="0"/>
                <w:sz w:val="18"/>
                <w:szCs w:val="18"/>
                <w:u w:val="single"/>
                <w:em w:val="none"/>
                <w:lang w:val="el-GR" w:bidi="ar-SA"/>
              </w:rPr>
              <w:t xml:space="preserve">συνοδό εξοπλισμό), </w:t>
            </w:r>
            <w:r>
              <w:rPr>
                <w:rFonts w:eastAsia="Calibri" w:cs="Calibri" w:cstheme="minorHAnsi"/>
                <w:b/>
                <w:bCs/>
                <w:i w:val="false"/>
                <w:strike w:val="false"/>
                <w:dstrike w:val="false"/>
                <w:outline w:val="false"/>
                <w:shadow w:val="false"/>
                <w:color w:val="000000"/>
                <w:kern w:val="0"/>
                <w:sz w:val="18"/>
                <w:szCs w:val="18"/>
                <w:u w:val="single"/>
                <w:em w:val="none"/>
                <w:lang w:val="el-GR" w:bidi="ar-SA"/>
              </w:rPr>
              <w:t xml:space="preserve">Τμήμα </w:t>
            </w:r>
            <w:r>
              <w:rPr>
                <w:rFonts w:eastAsia="Calibri" w:cs="Calibri" w:cstheme="minorHAnsi"/>
                <w:b/>
                <w:bCs/>
                <w:i w:val="false"/>
                <w:strike w:val="false"/>
                <w:dstrike w:val="false"/>
                <w:outline w:val="false"/>
                <w:shadow w:val="false"/>
                <w:kern w:val="0"/>
                <w:sz w:val="18"/>
                <w:szCs w:val="18"/>
                <w:u w:val="single"/>
                <w:em w:val="none"/>
                <w:lang w:val="el-GR" w:bidi="ar-SA"/>
              </w:rPr>
              <w:t xml:space="preserve">2) ΑΝΟΣΟΕΝΖΥΜΙΚΟΣ ΑΝΑΛΥΤΗΣ ΤΕΧΝΙΚΗ ELISA(Αντιδραστήρια, calibrators, controls με </w:t>
            </w:r>
            <w:r>
              <w:rPr>
                <w:rFonts w:eastAsia="Times New Roman" w:cs="Calibri"/>
                <w:b/>
                <w:bCs/>
                <w:i w:val="false"/>
                <w:strike w:val="false"/>
                <w:dstrike w:val="false"/>
                <w:outline w:val="false"/>
                <w:shadow w:val="false"/>
                <w:color w:val="000000"/>
                <w:kern w:val="0"/>
                <w:sz w:val="18"/>
                <w:szCs w:val="18"/>
                <w:u w:val="single"/>
                <w:shd w:fill="auto" w:val="clear"/>
                <w:em w:val="none"/>
                <w:lang w:val="el-GR" w:eastAsia="zh-CN" w:bidi="ar-SA"/>
              </w:rPr>
              <w:t xml:space="preserve">δωρεάν </w:t>
            </w:r>
            <w:r>
              <w:rPr>
                <w:rFonts w:eastAsia="Calibri" w:cs="Calibri" w:cstheme="minorHAnsi"/>
                <w:b/>
                <w:bCs/>
                <w:i w:val="false"/>
                <w:strike w:val="false"/>
                <w:dstrike w:val="false"/>
                <w:outline w:val="false"/>
                <w:shadow w:val="false"/>
                <w:kern w:val="0"/>
                <w:sz w:val="18"/>
                <w:szCs w:val="18"/>
                <w:u w:val="single"/>
                <w:em w:val="none"/>
                <w:lang w:val="el-GR" w:bidi="ar-SA"/>
              </w:rPr>
              <w:t xml:space="preserve">συνοδό εξοπλισμό) και </w:t>
            </w:r>
            <w:r>
              <w:rPr>
                <w:rFonts w:eastAsia="Calibri" w:cs="Calibri" w:cstheme="minorHAnsi"/>
                <w:b/>
                <w:bCs/>
                <w:i w:val="false"/>
                <w:strike w:val="false"/>
                <w:dstrike w:val="false"/>
                <w:outline w:val="false"/>
                <w:shadow w:val="false"/>
                <w:color w:val="000000"/>
                <w:kern w:val="0"/>
                <w:sz w:val="18"/>
                <w:szCs w:val="18"/>
                <w:u w:val="single"/>
                <w:em w:val="none"/>
                <w:lang w:val="el-GR" w:bidi="ar-SA"/>
              </w:rPr>
              <w:t>Τμήμα</w:t>
            </w:r>
            <w:r>
              <w:rPr>
                <w:rFonts w:eastAsia="Calibri" w:cs="Calibri" w:cstheme="minorHAnsi"/>
                <w:b/>
                <w:bCs/>
                <w:i w:val="false"/>
                <w:strike w:val="false"/>
                <w:dstrike w:val="false"/>
                <w:outline w:val="false"/>
                <w:shadow w:val="false"/>
                <w:kern w:val="0"/>
                <w:sz w:val="18"/>
                <w:szCs w:val="18"/>
                <w:u w:val="single"/>
                <w:em w:val="none"/>
                <w:lang w:val="el-GR" w:bidi="ar-SA"/>
              </w:rPr>
              <w:t xml:space="preserve"> 3)</w:t>
            </w:r>
            <w:r>
              <w:rPr>
                <w:rFonts w:eastAsia="Calibri" w:cs="Calibri" w:cstheme="minorHAnsi"/>
                <w:b/>
                <w:bCs/>
                <w:i w:val="false"/>
                <w:strike w:val="false"/>
                <w:dstrike w:val="false"/>
                <w:outline w:val="false"/>
                <w:shadow w:val="false"/>
                <w:kern w:val="0"/>
                <w:sz w:val="18"/>
                <w:szCs w:val="18"/>
                <w:u w:val="single"/>
                <w:shd w:fill="auto" w:val="clear"/>
                <w:em w:val="none"/>
                <w:lang w:val="el-GR" w:eastAsia="en-US" w:bidi="ar-SA"/>
              </w:rPr>
              <w:t xml:space="preserve"> Σ</w:t>
            </w:r>
            <w:r>
              <w:rPr>
                <w:rFonts w:eastAsia="Calibri" w:cs="Calibri" w:cstheme="minorHAnsi"/>
                <w:b/>
                <w:bCs/>
                <w:i w:val="false"/>
                <w:strike w:val="false"/>
                <w:dstrike w:val="false"/>
                <w:outline w:val="false"/>
                <w:shadow w:val="false"/>
                <w:kern w:val="0"/>
                <w:sz w:val="18"/>
                <w:szCs w:val="18"/>
                <w:u w:val="single"/>
                <w:shd w:fill="auto" w:val="clear"/>
                <w:em w:val="none"/>
                <w:lang w:val="el-GR" w:bidi="ar-SA"/>
              </w:rPr>
              <w:t>ΥΣΤΗΜΑ ΗΛΕΚΤΡΟΦΟΡΗΣΗΣ-ΑΝΟΣΟΚΑΘΗΛΩΣΗΣ</w:t>
            </w:r>
            <w:r>
              <w:rPr>
                <w:rFonts w:eastAsia="Calibri" w:cs="Calibri"/>
                <w:b/>
                <w:bCs/>
                <w:i w:val="false"/>
                <w:strike w:val="false"/>
                <w:dstrike w:val="false"/>
                <w:outline w:val="false"/>
                <w:shadow w:val="false"/>
                <w:kern w:val="0"/>
                <w:sz w:val="18"/>
                <w:szCs w:val="18"/>
                <w:u w:val="single"/>
                <w:shd w:fill="auto" w:val="clear"/>
                <w:em w:val="none"/>
                <w:lang w:val="el-GR" w:bidi="ar-SA"/>
              </w:rPr>
              <w:t xml:space="preserve">(Αντιδραστήρια, calibrators, controls με </w:t>
            </w:r>
            <w:r>
              <w:rPr>
                <w:rFonts w:eastAsia="Times New Roman" w:cs="Calibri"/>
                <w:b/>
                <w:bCs/>
                <w:i w:val="false"/>
                <w:strike w:val="false"/>
                <w:dstrike w:val="false"/>
                <w:outline w:val="false"/>
                <w:shadow w:val="false"/>
                <w:color w:val="000000"/>
                <w:kern w:val="0"/>
                <w:sz w:val="18"/>
                <w:szCs w:val="18"/>
                <w:u w:val="single"/>
                <w:shd w:fill="auto" w:val="clear"/>
                <w:em w:val="none"/>
                <w:lang w:val="el-GR" w:eastAsia="zh-CN" w:bidi="ar-SA"/>
              </w:rPr>
              <w:t xml:space="preserve">δωρεάν </w:t>
            </w:r>
            <w:r>
              <w:rPr>
                <w:rFonts w:eastAsia="Calibri" w:cs="Calibri"/>
                <w:b/>
                <w:bCs/>
                <w:i w:val="false"/>
                <w:strike w:val="false"/>
                <w:dstrike w:val="false"/>
                <w:outline w:val="false"/>
                <w:shadow w:val="false"/>
                <w:kern w:val="0"/>
                <w:sz w:val="18"/>
                <w:szCs w:val="18"/>
                <w:u w:val="single"/>
                <w:shd w:fill="auto" w:val="clear"/>
                <w:em w:val="none"/>
                <w:lang w:val="el-GR" w:bidi="ar-SA"/>
              </w:rPr>
              <w:t>συνοδό εξοπλισμό)</w:t>
            </w:r>
          </w:p>
          <w:p>
            <w:pPr>
              <w:pStyle w:val="Normal"/>
              <w:widowControl w:val="false"/>
              <w:tabs>
                <w:tab w:val="left" w:pos="720" w:leader="none"/>
              </w:tabs>
              <w:suppressAutoHyphens w:val="true"/>
              <w:spacing w:lineRule="auto" w:line="276" w:before="0" w:after="0"/>
              <w:jc w:val="center"/>
              <w:rPr>
                <w:rFonts w:cs="Calibri"/>
                <w:sz w:val="18"/>
                <w:szCs w:val="18"/>
              </w:rPr>
            </w:pPr>
            <w:r>
              <w:rPr>
                <w:rFonts w:cs="Calibri"/>
                <w:sz w:val="22"/>
                <w:szCs w:val="18"/>
              </w:rPr>
            </w:r>
          </w:p>
          <w:p>
            <w:pPr>
              <w:pStyle w:val="Normal"/>
              <w:widowControl w:val="false"/>
              <w:jc w:val="left"/>
              <w:rPr>
                <w:rFonts w:cs="Calibri"/>
                <w:bCs/>
                <w:sz w:val="18"/>
                <w:szCs w:val="18"/>
              </w:rPr>
            </w:pPr>
            <w:r>
              <w:rPr>
                <w:rFonts w:eastAsia="Calibri" w:cs="Calibri" w:cstheme="minorHAnsi"/>
                <w:bCs/>
                <w:kern w:val="0"/>
                <w:sz w:val="18"/>
                <w:szCs w:val="18"/>
                <w:lang w:val="el-GR" w:eastAsia="en-US" w:bidi="ar-SA"/>
              </w:rPr>
              <w:t xml:space="preserve">                                             </w:t>
            </w:r>
            <w:r>
              <w:rPr>
                <w:sz w:val="18"/>
                <w:szCs w:val="18"/>
                <w:lang w:val="el-GR" w:eastAsia="en-US" w:bidi="ar-SA"/>
              </w:rPr>
              <w:t>Ημερομηνία διενέργειας:                                                 01-03-2023</w:t>
            </w:r>
          </w:p>
          <w:p>
            <w:pPr>
              <w:pStyle w:val="Normal"/>
              <w:widowControl w:val="false"/>
              <w:jc w:val="left"/>
              <w:rPr>
                <w:sz w:val="18"/>
                <w:szCs w:val="18"/>
              </w:rPr>
            </w:pPr>
            <w:r>
              <w:rPr>
                <w:sz w:val="18"/>
                <w:szCs w:val="18"/>
              </w:rPr>
              <w:t xml:space="preserve">                                             </w:t>
            </w:r>
            <w:r>
              <w:rPr>
                <w:sz w:val="18"/>
                <w:szCs w:val="18"/>
              </w:rPr>
              <w:t>Καταληκτική ημερομηνία υποβολής προσφορών:      28-02-2023</w:t>
            </w:r>
          </w:p>
          <w:p>
            <w:pPr>
              <w:pStyle w:val="Normal"/>
              <w:widowControl w:val="false"/>
              <w:suppressAutoHyphens w:val="true"/>
              <w:spacing w:lineRule="auto" w:line="240" w:before="0" w:after="0"/>
              <w:jc w:val="center"/>
              <w:rPr>
                <w:rFonts w:cs="Calibri" w:cstheme="minorHAnsi"/>
                <w:bCs/>
                <w:sz w:val="18"/>
                <w:szCs w:val="18"/>
              </w:rPr>
            </w:pPr>
            <w:r>
              <w:rPr>
                <w:rFonts w:cs="Calibri" w:cstheme="minorHAnsi"/>
                <w:bCs/>
                <w:sz w:val="22"/>
                <w:szCs w:val="18"/>
              </w:rPr>
            </w:r>
          </w:p>
          <w:p>
            <w:pPr>
              <w:pStyle w:val="Normal"/>
              <w:widowControl w:val="false"/>
              <w:suppressAutoHyphens w:val="true"/>
              <w:spacing w:lineRule="auto" w:line="240" w:before="0" w:after="0"/>
              <w:jc w:val="center"/>
              <w:rPr>
                <w:rFonts w:cs="Calibri"/>
                <w:b/>
                <w:b/>
                <w:sz w:val="18"/>
                <w:szCs w:val="18"/>
              </w:rPr>
            </w:pPr>
            <w:r>
              <w:rPr>
                <w:rFonts w:eastAsia="Calibri" w:cs="Calibri" w:cstheme="minorHAnsi"/>
                <w:b/>
                <w:kern w:val="0"/>
                <w:sz w:val="18"/>
                <w:szCs w:val="18"/>
                <w:lang w:val="el-GR" w:eastAsia="en-US" w:bidi="ar-SA"/>
              </w:rPr>
              <w:t>Στοιχεία Προσφέροντος:</w:t>
            </w:r>
          </w:p>
        </w:tc>
      </w:tr>
      <w:tr>
        <w:trPr/>
        <w:tc>
          <w:tcPr>
            <w:tcW w:w="9497" w:type="dxa"/>
            <w:tcBorders>
              <w:top w:val="nil"/>
              <w:left w:val="nil"/>
              <w:bottom w:val="nil"/>
              <w:right w:val="nil"/>
            </w:tcBorders>
          </w:tcPr>
          <w:p>
            <w:pPr>
              <w:pStyle w:val="Normal"/>
              <w:widowControl w:val="false"/>
              <w:suppressAutoHyphens w:val="true"/>
              <w:spacing w:lineRule="auto" w:line="276" w:before="0" w:after="0"/>
              <w:jc w:val="both"/>
              <w:rPr>
                <w:rFonts w:cs="Calibri"/>
                <w:sz w:val="18"/>
                <w:szCs w:val="18"/>
              </w:rPr>
            </w:pPr>
            <w:r>
              <w:rPr>
                <w:rFonts w:eastAsia="Calibri" w:cs="Calibri" w:cstheme="minorHAnsi"/>
                <w:kern w:val="0"/>
                <w:sz w:val="18"/>
                <w:szCs w:val="18"/>
                <w:lang w:val="el-GR" w:eastAsia="en-US" w:bidi="ar-SA"/>
              </w:rPr>
              <w:t xml:space="preserve">                                </w:t>
            </w:r>
            <w:r>
              <w:rPr>
                <w:rFonts w:eastAsia="Calibri" w:cs="Calibri" w:cstheme="minorHAnsi"/>
                <w:kern w:val="0"/>
                <w:sz w:val="18"/>
                <w:szCs w:val="18"/>
                <w:lang w:val="el-GR" w:eastAsia="en-US" w:bidi="ar-SA"/>
              </w:rPr>
              <w:t>Επωνυμία:</w:t>
            </w:r>
          </w:p>
        </w:tc>
      </w:tr>
      <w:tr>
        <w:trPr/>
        <w:tc>
          <w:tcPr>
            <w:tcW w:w="9497" w:type="dxa"/>
            <w:tcBorders>
              <w:top w:val="nil"/>
              <w:left w:val="nil"/>
              <w:bottom w:val="nil"/>
              <w:right w:val="nil"/>
            </w:tcBorders>
          </w:tcPr>
          <w:p>
            <w:pPr>
              <w:pStyle w:val="Normal"/>
              <w:widowControl w:val="false"/>
              <w:suppressAutoHyphens w:val="true"/>
              <w:spacing w:lineRule="auto" w:line="276" w:before="0" w:after="0"/>
              <w:jc w:val="both"/>
              <w:rPr>
                <w:rFonts w:cs="Calibri"/>
                <w:sz w:val="18"/>
                <w:szCs w:val="18"/>
              </w:rPr>
            </w:pPr>
            <w:r>
              <w:rPr>
                <w:rFonts w:eastAsia="Calibri" w:cs="Calibri" w:cstheme="minorHAnsi"/>
                <w:kern w:val="0"/>
                <w:sz w:val="18"/>
                <w:szCs w:val="18"/>
                <w:lang w:val="el-GR" w:eastAsia="en-US" w:bidi="ar-SA"/>
              </w:rPr>
              <w:t xml:space="preserve">                                </w:t>
            </w:r>
            <w:r>
              <w:rPr>
                <w:rFonts w:eastAsia="Calibri" w:cs="Calibri" w:cstheme="minorHAnsi"/>
                <w:kern w:val="0"/>
                <w:sz w:val="18"/>
                <w:szCs w:val="18"/>
                <w:lang w:val="el-GR" w:eastAsia="en-US" w:bidi="ar-SA"/>
              </w:rPr>
              <w:t>Διεύθυνση:</w:t>
            </w:r>
          </w:p>
        </w:tc>
      </w:tr>
      <w:tr>
        <w:trPr/>
        <w:tc>
          <w:tcPr>
            <w:tcW w:w="9497" w:type="dxa"/>
            <w:tcBorders>
              <w:top w:val="nil"/>
              <w:left w:val="nil"/>
              <w:bottom w:val="nil"/>
              <w:right w:val="nil"/>
            </w:tcBorders>
          </w:tcPr>
          <w:p>
            <w:pPr>
              <w:pStyle w:val="Normal"/>
              <w:widowControl w:val="false"/>
              <w:suppressAutoHyphens w:val="true"/>
              <w:spacing w:lineRule="auto" w:line="276" w:before="0" w:after="0"/>
              <w:jc w:val="both"/>
              <w:rPr>
                <w:rFonts w:cs="Calibri"/>
                <w:sz w:val="18"/>
                <w:szCs w:val="18"/>
              </w:rPr>
            </w:pPr>
            <w:r>
              <w:rPr>
                <w:rFonts w:eastAsia="Calibri" w:cs="Calibri" w:cstheme="minorHAnsi"/>
                <w:kern w:val="0"/>
                <w:sz w:val="18"/>
                <w:szCs w:val="18"/>
                <w:lang w:val="el-GR" w:eastAsia="en-US" w:bidi="ar-SA"/>
              </w:rPr>
              <w:t xml:space="preserve">                                </w:t>
            </w:r>
            <w:r>
              <w:rPr>
                <w:rFonts w:eastAsia="Calibri" w:cs="Calibri" w:cstheme="minorHAnsi"/>
                <w:kern w:val="0"/>
                <w:sz w:val="18"/>
                <w:szCs w:val="18"/>
                <w:lang w:val="el-GR" w:eastAsia="en-US" w:bidi="ar-SA"/>
              </w:rPr>
              <w:t>Τηλ.:</w:t>
            </w:r>
          </w:p>
        </w:tc>
      </w:tr>
      <w:tr>
        <w:trPr/>
        <w:tc>
          <w:tcPr>
            <w:tcW w:w="9497" w:type="dxa"/>
            <w:tcBorders>
              <w:top w:val="nil"/>
              <w:left w:val="nil"/>
              <w:bottom w:val="nil"/>
              <w:right w:val="nil"/>
            </w:tcBorders>
          </w:tcPr>
          <w:p>
            <w:pPr>
              <w:pStyle w:val="Normal"/>
              <w:widowControl w:val="false"/>
              <w:suppressAutoHyphens w:val="true"/>
              <w:spacing w:lineRule="auto" w:line="276" w:before="0" w:after="0"/>
              <w:jc w:val="both"/>
              <w:rPr>
                <w:rFonts w:cs="Calibri"/>
                <w:sz w:val="18"/>
                <w:szCs w:val="18"/>
              </w:rPr>
            </w:pPr>
            <w:r>
              <w:rPr>
                <w:rFonts w:eastAsia="Calibri" w:cs="Calibri" w:cstheme="minorHAnsi"/>
                <w:kern w:val="0"/>
                <w:sz w:val="18"/>
                <w:szCs w:val="18"/>
                <w:lang w:val="el-GR" w:eastAsia="en-US" w:bidi="ar-SA"/>
              </w:rPr>
              <w:t xml:space="preserve">                                </w:t>
            </w:r>
            <w:r>
              <w:rPr>
                <w:rFonts w:eastAsia="Calibri" w:cs="Calibri" w:cstheme="minorHAnsi"/>
                <w:kern w:val="0"/>
                <w:sz w:val="18"/>
                <w:szCs w:val="18"/>
                <w:lang w:val="el-GR" w:eastAsia="en-US" w:bidi="ar-SA"/>
              </w:rPr>
              <w:t>Ε-mail:</w:t>
            </w:r>
          </w:p>
        </w:tc>
      </w:tr>
    </w:tbl>
    <w:p>
      <w:pPr>
        <w:pStyle w:val="Normal"/>
        <w:spacing w:lineRule="auto" w:line="240" w:before="240" w:after="200"/>
        <w:jc w:val="both"/>
        <w:rPr/>
      </w:pPr>
      <w:r>
        <w:rPr>
          <w:rFonts w:cs="Calibri" w:cstheme="minorHAnsi"/>
        </w:rPr>
        <w:t xml:space="preserve">                             </w:t>
      </w:r>
      <w:r>
        <w:rPr>
          <w:rFonts w:cs="Calibri" w:cstheme="minorHAnsi"/>
        </w:rPr>
        <w:t xml:space="preserve">και να φέρει την ένδειξη: </w:t>
      </w:r>
      <w:r>
        <w:rPr>
          <w:rFonts w:cs="Calibri" w:cstheme="minorHAnsi"/>
          <w:b/>
          <w:bCs/>
        </w:rPr>
        <w:t>«Να μην ανοιχθεί από το πρωτόκολλο ή τη γραμματεία»</w:t>
      </w:r>
      <w:r>
        <w:rPr>
          <w:rFonts w:cs="Calibri" w:cstheme="minorHAnsi"/>
        </w:rPr>
        <w:t>.</w:t>
      </w:r>
    </w:p>
    <w:p>
      <w:pPr>
        <w:pStyle w:val="Normal"/>
        <w:jc w:val="both"/>
        <w:rPr>
          <w:rFonts w:ascii="Calibri" w:hAnsi="Calibri"/>
          <w:sz w:val="22"/>
          <w:szCs w:val="22"/>
        </w:rPr>
      </w:pPr>
      <w:r>
        <w:rPr>
          <w:rFonts w:cs="Calibri" w:cstheme="minorHAnsi"/>
          <w:sz w:val="22"/>
          <w:szCs w:val="22"/>
        </w:rPr>
        <w:t>Οι προσφορές υποβάλλονται μέχρι και τι</w:t>
      </w:r>
      <w:r>
        <w:rPr>
          <w:rFonts w:cs="Calibri" w:cstheme="minorHAnsi"/>
          <w:sz w:val="22"/>
          <w:szCs w:val="22"/>
          <w:shd w:fill="auto" w:val="clear"/>
        </w:rPr>
        <w:t>ς</w:t>
      </w:r>
      <w:r>
        <w:rPr>
          <w:rFonts w:eastAsia="Times New Roman" w:cs="Calibri" w:cstheme="minorHAnsi"/>
          <w:b/>
          <w:sz w:val="22"/>
          <w:szCs w:val="22"/>
          <w:shd w:fill="auto" w:val="clear"/>
          <w:lang w:eastAsia="el-GR"/>
        </w:rPr>
        <w:t xml:space="preserve"> 28/02/2023 ημέρα Τρίτη και ώρα 14:00 μ.μ.</w:t>
      </w:r>
      <w:r>
        <w:rPr>
          <w:rFonts w:cs="Calibri" w:cstheme="minorHAnsi"/>
          <w:b/>
          <w:bCs/>
          <w:sz w:val="22"/>
          <w:szCs w:val="22"/>
          <w:shd w:fill="auto" w:val="clear"/>
        </w:rPr>
        <w:t xml:space="preserve"> </w:t>
      </w:r>
      <w:r>
        <w:rPr>
          <w:rFonts w:cs="Calibri" w:cstheme="minorHAnsi"/>
          <w:bCs/>
          <w:sz w:val="22"/>
          <w:szCs w:val="22"/>
          <w:shd w:fill="auto" w:val="clear"/>
        </w:rPr>
        <w:t>στ</w:t>
      </w:r>
      <w:r>
        <w:rPr>
          <w:rFonts w:cs="Calibri" w:cstheme="minorHAnsi"/>
          <w:bCs/>
          <w:sz w:val="22"/>
          <w:szCs w:val="22"/>
        </w:rPr>
        <w:t xml:space="preserve">ο Τμήμα Γραμματείας </w:t>
      </w:r>
      <w:r>
        <w:rPr>
          <w:rFonts w:cs="Calibri" w:cstheme="minorHAnsi"/>
          <w:b/>
          <w:bCs/>
          <w:sz w:val="22"/>
          <w:szCs w:val="22"/>
        </w:rPr>
        <w:t xml:space="preserve"> </w:t>
      </w:r>
      <w:r>
        <w:rPr>
          <w:rFonts w:cs="Calibri" w:cstheme="minorHAnsi"/>
          <w:sz w:val="22"/>
          <w:szCs w:val="22"/>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40" w:before="0" w:after="0"/>
        <w:jc w:val="both"/>
        <w:rPr>
          <w:rFonts w:ascii="Calibri" w:hAnsi="Calibri"/>
          <w:sz w:val="22"/>
          <w:szCs w:val="22"/>
        </w:rPr>
      </w:pPr>
      <w:r>
        <w:rPr>
          <w:rFonts w:cs="Calibri" w:cstheme="minorHAnsi"/>
          <w:b/>
          <w:sz w:val="22"/>
          <w:szCs w:val="22"/>
          <w:u w:val="single"/>
        </w:rPr>
        <w:t xml:space="preserve">3.1. </w:t>
      </w:r>
      <w:r>
        <w:rPr>
          <w:rFonts w:eastAsia="Calibri" w:cs="Calibri" w:cstheme="minorHAnsi"/>
          <w:b/>
          <w:sz w:val="22"/>
          <w:szCs w:val="22"/>
          <w:u w:val="single"/>
        </w:rPr>
        <w:t>Τρόπος υποβολής προσφορών</w:t>
      </w:r>
      <w:r>
        <w:rPr>
          <w:rFonts w:cs="Calibri" w:cstheme="minorHAnsi"/>
          <w:b/>
          <w:sz w:val="22"/>
          <w:szCs w:val="22"/>
          <w:u w:val="single"/>
        </w:rPr>
        <w:t>/Περιεχόμενο φακέλου προσφοράς</w:t>
      </w:r>
    </w:p>
    <w:p>
      <w:pPr>
        <w:pStyle w:val="Normal"/>
        <w:ind w:right="175" w:hanging="0"/>
        <w:jc w:val="both"/>
        <w:rPr>
          <w:rFonts w:ascii="Calibri" w:hAnsi="Calibri"/>
          <w:sz w:val="22"/>
          <w:szCs w:val="22"/>
        </w:rPr>
      </w:pPr>
      <w:r>
        <w:rPr>
          <w:rFonts w:eastAsia="Times New Roman" w:cs="Calibri" w:cstheme="minorHAnsi"/>
          <w:sz w:val="22"/>
          <w:szCs w:val="22"/>
          <w:lang w:eastAsia="el-GR"/>
        </w:rPr>
        <w:t xml:space="preserve">Οι </w:t>
      </w:r>
      <w:r>
        <w:rPr>
          <w:rFonts w:eastAsia="Calibri" w:cs="Calibri" w:cstheme="minorHAnsi"/>
          <w:color w:val="000000"/>
          <w:sz w:val="22"/>
          <w:szCs w:val="22"/>
        </w:rPr>
        <w:t xml:space="preserve">οικονομικοί φορείς </w:t>
      </w:r>
      <w:r>
        <w:rPr>
          <w:rFonts w:eastAsia="Times New Roman" w:cs="Calibri" w:cstheme="minorHAnsi"/>
          <w:sz w:val="22"/>
          <w:szCs w:val="22"/>
          <w:lang w:eastAsia="el-GR"/>
        </w:rPr>
        <w:t xml:space="preserve">υποβάλλουν την προσφορά τους σε κεντρικό φάκελο που θα εμπεριέχει τρείς (3) ξεχωριστούς σφραγισμένους υποφακέλους Α, Β και Γ και πάνω στον καθένα θα αναγράφεται ο τίτλος της προσφοράς. Έτσι, ο Α υποφάκελος θα αναγράφει την ένδειξη </w:t>
      </w:r>
      <w:r>
        <w:rPr>
          <w:rFonts w:eastAsia="Times New Roman" w:cs="Calibri" w:cstheme="minorHAnsi"/>
          <w:b/>
          <w:sz w:val="22"/>
          <w:szCs w:val="22"/>
          <w:lang w:eastAsia="el-GR"/>
        </w:rPr>
        <w:t>«Δικαιολογητικά Συμμετοχής»</w:t>
      </w:r>
      <w:r>
        <w:rPr>
          <w:rFonts w:eastAsia="Times New Roman" w:cs="Calibri" w:cstheme="minorHAnsi"/>
          <w:sz w:val="22"/>
          <w:szCs w:val="22"/>
          <w:lang w:eastAsia="el-GR"/>
        </w:rPr>
        <w:t xml:space="preserve">, ο Β υποφάκελος την ένδειξη </w:t>
      </w:r>
      <w:r>
        <w:rPr>
          <w:rFonts w:eastAsia="Times New Roman" w:cs="Calibri" w:cstheme="minorHAnsi"/>
          <w:b/>
          <w:sz w:val="22"/>
          <w:szCs w:val="22"/>
          <w:lang w:eastAsia="el-GR"/>
        </w:rPr>
        <w:t>«Τεχνική Προσφορά»</w:t>
      </w:r>
      <w:r>
        <w:rPr>
          <w:rFonts w:eastAsia="Times New Roman" w:cs="Calibri" w:cstheme="minorHAnsi"/>
          <w:sz w:val="22"/>
          <w:szCs w:val="22"/>
          <w:lang w:eastAsia="el-GR"/>
        </w:rPr>
        <w:t xml:space="preserve"> και ο Γ υποφάκελος την ένδειξη </w:t>
      </w:r>
      <w:r>
        <w:rPr>
          <w:rFonts w:eastAsia="Times New Roman" w:cs="Calibri" w:cstheme="minorHAnsi"/>
          <w:b/>
          <w:sz w:val="22"/>
          <w:szCs w:val="22"/>
          <w:lang w:eastAsia="el-GR"/>
        </w:rPr>
        <w:t>«Οικονομική Προσφορά»</w:t>
      </w:r>
      <w:r>
        <w:rPr>
          <w:rFonts w:eastAsia="Times New Roman" w:cs="Calibri" w:cstheme="minorHAnsi"/>
          <w:sz w:val="22"/>
          <w:szCs w:val="22"/>
          <w:lang w:eastAsia="el-GR"/>
        </w:rPr>
        <w:t>.</w:t>
      </w:r>
    </w:p>
    <w:p>
      <w:pPr>
        <w:pStyle w:val="Normal"/>
        <w:spacing w:lineRule="auto" w:line="360" w:before="0" w:after="0"/>
        <w:jc w:val="both"/>
        <w:rPr>
          <w:rFonts w:ascii="Calibri" w:hAnsi="Calibri"/>
          <w:sz w:val="22"/>
          <w:szCs w:val="22"/>
        </w:rPr>
      </w:pPr>
      <w:r>
        <w:rPr>
          <w:rFonts w:eastAsia="Times New Roman" w:cs="Calibri" w:cstheme="minorHAnsi"/>
          <w:sz w:val="22"/>
          <w:szCs w:val="22"/>
          <w:lang w:eastAsia="el-GR"/>
        </w:rPr>
        <w:t xml:space="preserve">Ο κάθε υποφάκελος θα </w:t>
      </w:r>
      <w:r>
        <w:rPr>
          <w:rFonts w:cs="Calibri" w:cstheme="minorHAnsi"/>
          <w:sz w:val="22"/>
          <w:szCs w:val="22"/>
        </w:rPr>
        <w:t>περιλαμβάνει τα κάτωθι:</w:t>
      </w:r>
    </w:p>
    <w:p>
      <w:pPr>
        <w:pStyle w:val="Normal"/>
        <w:widowControl w:val="false"/>
        <w:suppressAutoHyphens w:val="true"/>
        <w:spacing w:lineRule="auto" w:line="240" w:before="0" w:after="0"/>
        <w:jc w:val="center"/>
        <w:rPr>
          <w:rFonts w:ascii="Calibri" w:hAnsi="Calibri"/>
          <w:sz w:val="22"/>
          <w:szCs w:val="22"/>
        </w:rPr>
      </w:pPr>
      <w:r>
        <w:rPr>
          <w:rFonts w:eastAsia="Times New Roman" w:cs="Calibri" w:cstheme="minorHAnsi"/>
          <w:b/>
          <w:sz w:val="22"/>
          <w:szCs w:val="22"/>
          <w:u w:val="single"/>
          <w:lang w:eastAsia="el-GR"/>
        </w:rPr>
        <w:t>Υποφάκελος Α΄: Δικαιολογητικά Συμμετοχής</w:t>
      </w:r>
    </w:p>
    <w:p>
      <w:pPr>
        <w:pStyle w:val="Normal"/>
        <w:widowControl w:val="false"/>
        <w:suppressAutoHyphens w:val="true"/>
        <w:spacing w:lineRule="auto" w:line="240" w:before="0" w:after="0"/>
        <w:jc w:val="center"/>
        <w:rPr>
          <w:rFonts w:ascii="Calibri" w:hAnsi="Calibri" w:eastAsia="Times New Roman" w:cs="Calibri" w:cstheme="minorHAnsi"/>
          <w:b/>
          <w:b/>
          <w:sz w:val="22"/>
          <w:szCs w:val="22"/>
          <w:u w:val="single"/>
          <w:lang w:eastAsia="el-GR"/>
        </w:rPr>
      </w:pPr>
      <w:r>
        <w:rPr>
          <w:rFonts w:eastAsia="Times New Roman" w:cs="Calibri" w:cstheme="minorHAnsi"/>
          <w:b/>
          <w:sz w:val="22"/>
          <w:szCs w:val="22"/>
          <w:u w:val="single"/>
          <w:lang w:eastAsia="el-GR"/>
        </w:rPr>
      </w:r>
    </w:p>
    <w:p>
      <w:pPr>
        <w:pStyle w:val="Normal"/>
        <w:widowControl w:val="false"/>
        <w:suppressAutoHyphens w:val="true"/>
        <w:spacing w:lineRule="auto" w:line="240" w:before="0" w:after="0"/>
        <w:jc w:val="both"/>
        <w:rPr>
          <w:rFonts w:ascii="Calibri" w:hAnsi="Calibri"/>
          <w:sz w:val="22"/>
          <w:szCs w:val="22"/>
        </w:rPr>
      </w:pPr>
      <w:r>
        <w:rPr>
          <w:rFonts w:eastAsia="Calibri" w:cs="Calibri" w:cstheme="minorHAnsi"/>
          <w:sz w:val="22"/>
          <w:szCs w:val="22"/>
        </w:rPr>
        <w:t xml:space="preserve">Τα «Δικαιολογητικά Συμμετοχής» υποβάλλονται </w:t>
      </w:r>
      <w:r>
        <w:rPr>
          <w:rFonts w:eastAsia="Times New Roman" w:cs="Calibri" w:cstheme="minorHAnsi"/>
          <w:b/>
          <w:sz w:val="22"/>
          <w:szCs w:val="22"/>
          <w:lang w:eastAsia="el-GR"/>
        </w:rPr>
        <w:t>σε δύο αντίτυπα, ένα πρωτότυπο και ένα αντίγραφο,</w:t>
      </w:r>
      <w:r>
        <w:rPr>
          <w:rFonts w:eastAsia="Times New Roman" w:cs="Calibri" w:cstheme="minorHAnsi"/>
          <w:sz w:val="22"/>
          <w:szCs w:val="22"/>
          <w:lang w:eastAsia="el-GR"/>
        </w:rPr>
        <w:t xml:space="preserve"> κ</w:t>
      </w:r>
      <w:r>
        <w:rPr>
          <w:rFonts w:eastAsia="Calibri" w:cs="Calibri" w:cstheme="minorHAnsi"/>
          <w:sz w:val="22"/>
          <w:szCs w:val="22"/>
        </w:rPr>
        <w:t>αι περιλαμβάνουν:</w:t>
      </w:r>
    </w:p>
    <w:p>
      <w:pPr>
        <w:pStyle w:val="Normal"/>
        <w:widowControl w:val="false"/>
        <w:suppressAutoHyphens w:val="true"/>
        <w:spacing w:lineRule="auto" w:line="240" w:before="0" w:after="0"/>
        <w:jc w:val="both"/>
        <w:rPr>
          <w:rFonts w:ascii="Calibri" w:hAnsi="Calibri" w:eastAsia="Calibri" w:cs="Calibri" w:cstheme="minorHAnsi"/>
          <w:sz w:val="22"/>
          <w:szCs w:val="22"/>
        </w:rPr>
      </w:pPr>
      <w:r>
        <w:rPr>
          <w:rFonts w:eastAsia="Calibri" w:cs="Calibri" w:cstheme="minorHAnsi"/>
          <w:sz w:val="22"/>
          <w:szCs w:val="22"/>
        </w:rPr>
      </w:r>
    </w:p>
    <w:p>
      <w:pPr>
        <w:pStyle w:val="Normal"/>
        <w:spacing w:before="0" w:after="240"/>
        <w:jc w:val="both"/>
        <w:rPr>
          <w:rFonts w:ascii="Calibri" w:hAnsi="Calibri"/>
          <w:sz w:val="22"/>
          <w:szCs w:val="22"/>
        </w:rPr>
      </w:pPr>
      <w:r>
        <w:rPr>
          <w:rFonts w:eastAsia="Times New Roman" w:cs="Calibri" w:cstheme="minorHAnsi"/>
          <w:b/>
          <w:bCs/>
          <w:sz w:val="22"/>
          <w:szCs w:val="22"/>
          <w:lang w:eastAsia="el-GR"/>
        </w:rPr>
        <w:t>1. Υπεύθυνη δήλωση</w:t>
      </w:r>
      <w:r>
        <w:rPr>
          <w:rFonts w:eastAsia="Times New Roman" w:cs="Calibri" w:cstheme="minorHAnsi"/>
          <w:bCs/>
          <w:sz w:val="22"/>
          <w:szCs w:val="22"/>
          <w:lang w:eastAsia="el-GR"/>
        </w:rPr>
        <w:t xml:space="preserve"> της παρ.4 του άρθρου 8 του ν. 1599/1986/Α ́ 75 υπογεγραμμένη και σφραγισμένη, με την οποία θα δηλώνεται ότι:</w:t>
      </w:r>
    </w:p>
    <w:p>
      <w:pPr>
        <w:pStyle w:val="Normal"/>
        <w:numPr>
          <w:ilvl w:val="0"/>
          <w:numId w:val="6"/>
        </w:numPr>
        <w:spacing w:before="0" w:after="0"/>
        <w:contextualSpacing/>
        <w:jc w:val="both"/>
        <w:rPr>
          <w:rFonts w:ascii="Calibri" w:hAnsi="Calibri"/>
          <w:sz w:val="22"/>
          <w:szCs w:val="22"/>
        </w:rPr>
      </w:pPr>
      <w:r>
        <w:rPr>
          <w:rFonts w:eastAsia="Times New Roman" w:cs="Calibri" w:cstheme="minorHAnsi"/>
          <w:sz w:val="22"/>
          <w:szCs w:val="22"/>
          <w:lang w:eastAsia="el-GR"/>
        </w:rPr>
        <w:t>Η προσφορά συντάχθηκε σύμφωνα με τους όρους της παρούσας Πρόσκλησης, των οποίων οι προσφέροντες έλαβαν πλήρη και ανεπιφύλακτη γνώση.</w:t>
      </w:r>
    </w:p>
    <w:p>
      <w:pPr>
        <w:pStyle w:val="Normal"/>
        <w:numPr>
          <w:ilvl w:val="0"/>
          <w:numId w:val="6"/>
        </w:numPr>
        <w:spacing w:before="0" w:after="0"/>
        <w:contextualSpacing/>
        <w:jc w:val="both"/>
        <w:rPr>
          <w:rFonts w:ascii="Calibri" w:hAnsi="Calibri"/>
          <w:sz w:val="22"/>
          <w:szCs w:val="22"/>
        </w:rPr>
      </w:pPr>
      <w:r>
        <w:rPr>
          <w:rFonts w:eastAsia="Times New Roman" w:cs="Calibri" w:cstheme="minorHAnsi"/>
          <w:sz w:val="22"/>
          <w:szCs w:val="22"/>
          <w:lang w:eastAsia="el-GR"/>
        </w:rPr>
        <w:t>Ο υπογράφων είναι νόμιμος εκπρόσωπος και διαχειριστής της εταιρίας ή πρόσωπο ειδικώς εξουσιοδοτημένο.</w:t>
      </w:r>
    </w:p>
    <w:p>
      <w:pPr>
        <w:pStyle w:val="Normal"/>
        <w:numPr>
          <w:ilvl w:val="0"/>
          <w:numId w:val="6"/>
        </w:numPr>
        <w:spacing w:before="0" w:after="0"/>
        <w:contextualSpacing/>
        <w:jc w:val="both"/>
        <w:rPr>
          <w:rFonts w:ascii="Calibri" w:hAnsi="Calibri"/>
          <w:sz w:val="22"/>
          <w:szCs w:val="22"/>
        </w:rPr>
      </w:pPr>
      <w:r>
        <w:rPr>
          <w:rFonts w:eastAsia="Times New Roman" w:cs="Calibri" w:cstheme="minorHAnsi"/>
          <w:sz w:val="22"/>
          <w:szCs w:val="22"/>
          <w:lang w:eastAsia="el-GR"/>
        </w:rPr>
        <w:t>Η προσφορά ανταποκρίνεται πλήρως στους απαιτούμενους όρους της παρούσας Πρόσκλησης.</w:t>
      </w:r>
    </w:p>
    <w:p>
      <w:pPr>
        <w:pStyle w:val="Normal"/>
        <w:numPr>
          <w:ilvl w:val="0"/>
          <w:numId w:val="6"/>
        </w:numPr>
        <w:spacing w:before="0" w:after="0"/>
        <w:contextualSpacing/>
        <w:jc w:val="both"/>
        <w:rPr>
          <w:rFonts w:ascii="Calibri" w:hAnsi="Calibri"/>
          <w:sz w:val="22"/>
          <w:szCs w:val="22"/>
        </w:rPr>
      </w:pPr>
      <w:r>
        <w:rPr>
          <w:rFonts w:eastAsia="Times New Roman" w:cs="Calibri" w:cstheme="minorHAnsi"/>
          <w:sz w:val="22"/>
          <w:szCs w:val="22"/>
          <w:lang w:eastAsia="el-GR"/>
        </w:rPr>
        <w:t>H προσφορά ισχύει για διάστημα τουλάχιστον εκατόν ογδόντα (180) ημερών.</w:t>
      </w:r>
    </w:p>
    <w:p>
      <w:pPr>
        <w:pStyle w:val="Normal"/>
        <w:numPr>
          <w:ilvl w:val="0"/>
          <w:numId w:val="6"/>
        </w:numPr>
        <w:spacing w:before="0" w:after="0"/>
        <w:contextualSpacing/>
        <w:jc w:val="both"/>
        <w:rPr>
          <w:rFonts w:ascii="Calibri" w:hAnsi="Calibri"/>
          <w:sz w:val="22"/>
          <w:szCs w:val="22"/>
        </w:rPr>
      </w:pPr>
      <w:r>
        <w:rPr>
          <w:rFonts w:eastAsia="Times New Roman" w:cs="Calibri" w:cstheme="minorHAnsi"/>
          <w:sz w:val="22"/>
          <w:szCs w:val="22"/>
          <w:lang w:eastAsia="el-GR"/>
        </w:rPr>
        <w:t>Τα στοιχεία που αναφέρονται στην προσφορά είναι αληθή και ακριβή.</w:t>
      </w:r>
    </w:p>
    <w:p>
      <w:pPr>
        <w:pStyle w:val="Normal"/>
        <w:widowControl w:val="false"/>
        <w:numPr>
          <w:ilvl w:val="0"/>
          <w:numId w:val="6"/>
        </w:numPr>
        <w:suppressAutoHyphens w:val="true"/>
        <w:spacing w:lineRule="auto" w:line="240" w:before="0" w:after="240"/>
        <w:contextualSpacing/>
        <w:jc w:val="both"/>
        <w:rPr>
          <w:rFonts w:ascii="Calibri" w:hAnsi="Calibri"/>
          <w:sz w:val="22"/>
          <w:szCs w:val="22"/>
        </w:rPr>
      </w:pPr>
      <w:r>
        <w:rPr>
          <w:rFonts w:eastAsia="Times New Roman" w:cs="Calibri" w:cstheme="minorHAnsi"/>
          <w:sz w:val="22"/>
          <w:szCs w:val="22"/>
          <w:lang w:eastAsia="el-GR"/>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pPr>
        <w:pStyle w:val="Normal"/>
        <w:widowControl w:val="false"/>
        <w:numPr>
          <w:ilvl w:val="0"/>
          <w:numId w:val="0"/>
        </w:numPr>
        <w:suppressAutoHyphens w:val="true"/>
        <w:spacing w:lineRule="auto" w:line="240" w:before="0" w:after="240"/>
        <w:ind w:left="720" w:hanging="0"/>
        <w:contextualSpacing/>
        <w:jc w:val="both"/>
        <w:rPr>
          <w:rFonts w:ascii="Calibri" w:hAnsi="Calibri" w:eastAsia="Times New Roman" w:cs="Calibri" w:cstheme="minorHAnsi"/>
          <w:sz w:val="22"/>
          <w:szCs w:val="22"/>
          <w:lang w:eastAsia="el-GR"/>
        </w:rPr>
      </w:pPr>
      <w:r>
        <w:rPr>
          <w:rFonts w:eastAsia="Times New Roman" w:cs="Calibri" w:cstheme="minorHAnsi"/>
          <w:sz w:val="22"/>
          <w:szCs w:val="22"/>
          <w:lang w:eastAsia="el-GR"/>
        </w:rPr>
      </w:r>
    </w:p>
    <w:p>
      <w:pPr>
        <w:pStyle w:val="Normal"/>
        <w:widowControl w:val="false"/>
        <w:numPr>
          <w:ilvl w:val="0"/>
          <w:numId w:val="0"/>
        </w:numPr>
        <w:suppressAutoHyphens w:val="true"/>
        <w:spacing w:lineRule="auto" w:line="240" w:before="0" w:after="240"/>
        <w:ind w:left="0" w:hanging="0"/>
        <w:contextualSpacing/>
        <w:jc w:val="both"/>
        <w:rPr>
          <w:rFonts w:ascii="Calibri" w:hAnsi="Calibri"/>
          <w:sz w:val="22"/>
          <w:szCs w:val="22"/>
        </w:rPr>
      </w:pPr>
      <w:r>
        <w:rPr>
          <w:rFonts w:eastAsia="Times New Roman" w:cs="Calibri" w:cstheme="minorHAnsi"/>
          <w:b/>
          <w:sz w:val="22"/>
          <w:szCs w:val="22"/>
          <w:lang w:eastAsia="el-GR"/>
        </w:rPr>
        <w:t>2. Υπεύθυνη δήλωση</w:t>
      </w:r>
      <w:r>
        <w:rPr>
          <w:rFonts w:eastAsia="Times New Roman" w:cs="Calibri" w:cstheme="minorHAnsi"/>
          <w:sz w:val="22"/>
          <w:szCs w:val="22"/>
          <w:lang w:eastAsia="el-GR"/>
        </w:rPr>
        <w:t xml:space="preserve"> της παρ.4 του άρθρου 8 του ν. 1599/1986/Α ́75 υπογεγραμμένη και σφραγισμένη, με την οποία θα δηλώνεται ότι:</w:t>
      </w:r>
    </w:p>
    <w:p>
      <w:pPr>
        <w:pStyle w:val="Normal"/>
        <w:widowControl w:val="false"/>
        <w:numPr>
          <w:ilvl w:val="0"/>
          <w:numId w:val="0"/>
        </w:numPr>
        <w:suppressAutoHyphens w:val="true"/>
        <w:spacing w:lineRule="auto" w:line="240" w:before="0" w:after="240"/>
        <w:ind w:left="720" w:hanging="0"/>
        <w:contextualSpacing/>
        <w:jc w:val="both"/>
        <w:rPr>
          <w:rFonts w:ascii="Calibri" w:hAnsi="Calibri" w:eastAsia="Times New Roman" w:cs="Calibri" w:cstheme="minorHAnsi"/>
          <w:sz w:val="22"/>
          <w:szCs w:val="22"/>
          <w:lang w:eastAsia="el-GR"/>
        </w:rPr>
      </w:pPr>
      <w:r>
        <w:rPr>
          <w:rFonts w:eastAsia="Times New Roman" w:cs="Calibri" w:cstheme="minorHAnsi"/>
          <w:sz w:val="22"/>
          <w:szCs w:val="22"/>
          <w:lang w:eastAsia="el-GR"/>
        </w:rPr>
      </w:r>
    </w:p>
    <w:p>
      <w:pPr>
        <w:pStyle w:val="Normal"/>
        <w:widowControl/>
        <w:numPr>
          <w:ilvl w:val="0"/>
          <w:numId w:val="10"/>
        </w:numPr>
        <w:suppressAutoHyphens w:val="true"/>
        <w:bidi w:val="0"/>
        <w:spacing w:lineRule="auto" w:line="276" w:before="0" w:after="200"/>
        <w:ind w:left="397" w:right="0" w:hanging="0"/>
        <w:jc w:val="both"/>
        <w:rPr>
          <w:rFonts w:ascii="Calibri" w:hAnsi="Calibri"/>
          <w:sz w:val="22"/>
          <w:szCs w:val="22"/>
        </w:rPr>
      </w:pPr>
      <w:r>
        <w:rPr>
          <w:rFonts w:cs="Calibri" w:cstheme="minorHAnsi"/>
          <w:bCs/>
          <w:sz w:val="22"/>
          <w:szCs w:val="22"/>
        </w:rPr>
        <w:t xml:space="preserve"> </w:t>
      </w:r>
      <w:r>
        <w:rPr>
          <w:rFonts w:cs="Calibri" w:cstheme="minorHAnsi"/>
          <w:bCs/>
          <w:sz w:val="22"/>
          <w:szCs w:val="22"/>
        </w:rPr>
        <w:t>Δ</w:t>
      </w:r>
      <w:r>
        <w:rPr>
          <w:rFonts w:cs="Calibri" w:cstheme="minorHAnsi"/>
          <w:sz w:val="22"/>
          <w:szCs w:val="22"/>
        </w:rPr>
        <w:t>εν υπάρχει εις βάρος μου αμετάκλητη καταδικαστική απόφαση για κάποιο από τα παρακάτω:</w:t>
      </w:r>
    </w:p>
    <w:p>
      <w:pPr>
        <w:pStyle w:val="Default"/>
        <w:numPr>
          <w:ilvl w:val="0"/>
          <w:numId w:val="8"/>
        </w:numPr>
        <w:jc w:val="both"/>
        <w:rPr>
          <w:rFonts w:ascii="Calibri" w:hAnsi="Calibri"/>
          <w:sz w:val="22"/>
          <w:szCs w:val="22"/>
        </w:rPr>
      </w:pPr>
      <w:r>
        <w:rPr>
          <w:rFonts w:cs="Calibri" w:cstheme="minorHAnsi"/>
          <w:sz w:val="22"/>
          <w:szCs w:val="22"/>
        </w:rPr>
        <w:t>συμμετοχή σε εγκληματική οργάνωση, όπως αυτή ορίζεται στο άρθρο 2 της απόφασης-πλαίσιο 2008/841/ΔΕΥ του Συμβουλίου,</w:t>
      </w:r>
    </w:p>
    <w:p>
      <w:pPr>
        <w:pStyle w:val="Default"/>
        <w:numPr>
          <w:ilvl w:val="0"/>
          <w:numId w:val="3"/>
        </w:numPr>
        <w:jc w:val="both"/>
        <w:rPr>
          <w:rFonts w:ascii="Calibri" w:hAnsi="Calibri"/>
          <w:sz w:val="22"/>
          <w:szCs w:val="22"/>
        </w:rPr>
      </w:pPr>
      <w:r>
        <w:rPr>
          <w:rFonts w:cs="Calibri" w:cstheme="minorHAnsi"/>
          <w:sz w:val="22"/>
          <w:szCs w:val="22"/>
        </w:rPr>
        <w:t>δωροδοκία, όπως αυτή ορίζεται αντίστοιχα στο άρθρο 3 της πράξης του Συμβουλίου της 26ης Μαΐου 1997 και στο άρθρο 2 παρ. 1 της απόφασης-πλαίσιο 2003/568/ΔΕΥ του Συμβουλίου,</w:t>
      </w:r>
    </w:p>
    <w:p>
      <w:pPr>
        <w:pStyle w:val="Default"/>
        <w:numPr>
          <w:ilvl w:val="0"/>
          <w:numId w:val="3"/>
        </w:numPr>
        <w:jc w:val="both"/>
        <w:rPr>
          <w:rFonts w:ascii="Calibri" w:hAnsi="Calibri"/>
          <w:sz w:val="22"/>
          <w:szCs w:val="22"/>
        </w:rPr>
      </w:pPr>
      <w:r>
        <w:rPr>
          <w:rFonts w:cs="Calibri" w:cstheme="minorHAnsi"/>
          <w:sz w:val="22"/>
          <w:szCs w:val="22"/>
        </w:rPr>
        <w:t>απάτη, κατά την έννοια του άρθρου 1 της σύμβασης σχετικά με την προστασία των οικονομικών συμφερόντων των Ευρωπαϊκών Κοινοτήτων, η οποία κυρώθηκε με το ν. 2803/2000,</w:t>
      </w:r>
    </w:p>
    <w:p>
      <w:pPr>
        <w:pStyle w:val="Default"/>
        <w:numPr>
          <w:ilvl w:val="0"/>
          <w:numId w:val="3"/>
        </w:numPr>
        <w:jc w:val="both"/>
        <w:rPr>
          <w:rFonts w:ascii="Calibri" w:hAnsi="Calibri"/>
          <w:sz w:val="22"/>
          <w:szCs w:val="22"/>
        </w:rPr>
      </w:pPr>
      <w:r>
        <w:rPr>
          <w:rFonts w:cs="Calibri" w:cstheme="minorHAnsi"/>
          <w:sz w:val="22"/>
          <w:szCs w:val="22"/>
        </w:rPr>
        <w:t>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w:t>
      </w:r>
    </w:p>
    <w:p>
      <w:pPr>
        <w:pStyle w:val="Default"/>
        <w:numPr>
          <w:ilvl w:val="0"/>
          <w:numId w:val="3"/>
        </w:numPr>
        <w:jc w:val="both"/>
        <w:rPr>
          <w:rFonts w:ascii="Calibri" w:hAnsi="Calibri"/>
          <w:sz w:val="22"/>
          <w:szCs w:val="22"/>
        </w:rPr>
      </w:pPr>
      <w:r>
        <w:rPr>
          <w:rFonts w:cs="Calibri" w:cstheme="minorHAnsi"/>
          <w:sz w:val="22"/>
          <w:szCs w:val="22"/>
        </w:rPr>
        <w:t>νομιμοποίηση εσόδων από παράνομες δραστηριότητες ή χρηματοδότηση της τρομοκρατίας, όπως ορίζεται στο άρθρο 1 της Οδηγίας 2005/60/ΕΚ του Ευρωπαϊκού Κοινοβουλίου και του Συμβουλίου, για την πρόληψη χρησιμοποίησης του χρηματοπιστωτικού συστήματος για τη νομιμοποίηση εσόδων από παράνομες δραστηριότητες και τη χρηματοδότηση της τρομοκρατίας, η οποία ενσωματώθηκε στην εθνική νομοθεσία με το ν. 3691/2008,</w:t>
      </w:r>
    </w:p>
    <w:p>
      <w:pPr>
        <w:pStyle w:val="Default"/>
        <w:numPr>
          <w:ilvl w:val="0"/>
          <w:numId w:val="3"/>
        </w:numPr>
        <w:spacing w:before="0" w:after="240"/>
        <w:jc w:val="both"/>
        <w:rPr>
          <w:rFonts w:ascii="Calibri" w:hAnsi="Calibri"/>
          <w:sz w:val="22"/>
          <w:szCs w:val="22"/>
        </w:rPr>
      </w:pPr>
      <w:r>
        <w:rPr>
          <w:rFonts w:eastAsia="Times New Roman" w:cs="Calibri" w:cstheme="minorHAnsi"/>
          <w:sz w:val="22"/>
          <w:szCs w:val="22"/>
          <w:lang w:eastAsia="el-GR"/>
        </w:rPr>
        <w:t>παιδική εργασία και άλλες μορφές εμπορίας ανθρώπων, όπως ορίζονται στο άρθρο 2 της Οδηγίας 2011/36/ΕΕ του Ευρωπαϊκού Κοινοβουλίου και του Συμβουλίου,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η οποία ενσωματώθηκε στην εθνική νομοθεσία με τον ν. 4198/2013,</w:t>
      </w:r>
    </w:p>
    <w:p>
      <w:pPr>
        <w:pStyle w:val="Default"/>
        <w:numPr>
          <w:ilvl w:val="0"/>
          <w:numId w:val="3"/>
        </w:numPr>
        <w:spacing w:before="0" w:after="240"/>
        <w:jc w:val="both"/>
        <w:rPr>
          <w:rFonts w:ascii="Calibri" w:hAnsi="Calibri"/>
          <w:sz w:val="22"/>
          <w:szCs w:val="22"/>
        </w:rPr>
      </w:pPr>
      <w:r>
        <w:rPr>
          <w:rFonts w:eastAsia="Times New Roman" w:cs="Calibri" w:cstheme="minorHAnsi"/>
          <w:sz w:val="22"/>
          <w:szCs w:val="22"/>
          <w:lang w:eastAsia="el-GR"/>
        </w:rPr>
        <w:t>Η</w:t>
      </w:r>
      <w:r>
        <w:rPr>
          <w:rFonts w:eastAsia="Times New Roman" w:cs="Calibri" w:cstheme="minorHAnsi"/>
          <w:sz w:val="22"/>
          <w:szCs w:val="22"/>
          <w:shd w:fill="auto" w:val="clear"/>
          <w:lang w:eastAsia="el-GR"/>
        </w:rPr>
        <w:t xml:space="preserve"> ανωτέρω εταιρεία δεν τελεί υπό πτώχευση, δεν έχει υπαχθεί σε διαδικασία εξυγίανσης ή ειδικής εκκαθάρισης, δεν τελεί υπό αναγκαστική διαχείριση από εκκαθαριστή ή από το δικαστήριο, δεν έχει υπαχθεί σε διαδικασία πτωχευτικού συμβιβασμού και δεν έχει αναστείλει τις επιχειρηματικές δραστηριότητες,</w:t>
      </w:r>
    </w:p>
    <w:p>
      <w:pPr>
        <w:pStyle w:val="Default"/>
        <w:numPr>
          <w:ilvl w:val="0"/>
          <w:numId w:val="3"/>
        </w:numPr>
        <w:spacing w:before="0" w:after="240"/>
        <w:jc w:val="both"/>
        <w:rPr>
          <w:rFonts w:ascii="Calibri" w:hAnsi="Calibri"/>
          <w:sz w:val="22"/>
          <w:szCs w:val="22"/>
        </w:rPr>
      </w:pPr>
      <w:r>
        <w:rPr>
          <w:rFonts w:cs="Calibri" w:cstheme="minorHAnsi"/>
          <w:sz w:val="22"/>
          <w:szCs w:val="22"/>
        </w:rPr>
        <w:t>έχουν εκπληρωθεί όλες οι υποχρεώσεις της ανωτέρω εταιρείας όσον αφορά την καταβολή φόρων και εισφορών κοινωνικής ασφάλισης,</w:t>
      </w:r>
    </w:p>
    <w:p>
      <w:pPr>
        <w:pStyle w:val="Default"/>
        <w:numPr>
          <w:ilvl w:val="0"/>
          <w:numId w:val="3"/>
        </w:numPr>
        <w:spacing w:before="0" w:after="240"/>
        <w:jc w:val="both"/>
        <w:rPr>
          <w:rFonts w:ascii="Calibri" w:hAnsi="Calibri"/>
          <w:sz w:val="22"/>
          <w:szCs w:val="22"/>
        </w:rPr>
      </w:pPr>
      <w:r>
        <w:rPr>
          <w:rFonts w:cs="Calibri" w:cstheme="minorHAnsi"/>
          <w:sz w:val="22"/>
          <w:szCs w:val="22"/>
        </w:rPr>
        <w:t>η ανωτέρω εταιρεία τηρεί τις υποχρεώσεις της που απορρέουν από τις διατάξεις της περιβαλλοντικής, κοινωνικοασφαλιστικής και εργατικής νομοθεσίας, βάσει των οριζόμενων στην παρ. 4 περ. θ του άρθρου 73 του ν.4412/2016,</w:t>
      </w:r>
    </w:p>
    <w:p>
      <w:pPr>
        <w:pStyle w:val="Default"/>
        <w:numPr>
          <w:ilvl w:val="0"/>
          <w:numId w:val="3"/>
        </w:numPr>
        <w:spacing w:before="0" w:after="240"/>
        <w:jc w:val="both"/>
        <w:rPr>
          <w:rFonts w:ascii="Calibri" w:hAnsi="Calibri"/>
          <w:sz w:val="22"/>
          <w:szCs w:val="22"/>
        </w:rPr>
      </w:pPr>
      <w:r>
        <w:rPr>
          <w:rFonts w:cs="Calibri" w:cstheme="minorHAnsi"/>
          <w:sz w:val="22"/>
          <w:szCs w:val="22"/>
        </w:rPr>
        <w:t>η ανωτέρω εταιρεία δεν έχει διαπράξει σοβαρό επαγγελματικό παράπτωμα,</w:t>
      </w:r>
    </w:p>
    <w:p>
      <w:pPr>
        <w:pStyle w:val="Default"/>
        <w:numPr>
          <w:ilvl w:val="0"/>
          <w:numId w:val="3"/>
        </w:numPr>
        <w:spacing w:before="0" w:after="240"/>
        <w:jc w:val="both"/>
        <w:rPr>
          <w:rFonts w:ascii="Calibri" w:hAnsi="Calibri"/>
          <w:sz w:val="22"/>
          <w:szCs w:val="22"/>
        </w:rPr>
      </w:pPr>
      <w:r>
        <w:rPr>
          <w:rFonts w:cs="Calibri" w:cstheme="minorHAnsi"/>
          <w:sz w:val="22"/>
          <w:szCs w:val="22"/>
        </w:rPr>
        <w:t>δεν έχει επιβληθεί στην ανωτέρω εταιρεία η ποινή αποκλεισμού από διαγωνισμούς και γενικότερα από τη σύναψη δημοσίων συμβάσεων,</w:t>
      </w:r>
    </w:p>
    <w:p>
      <w:pPr>
        <w:pStyle w:val="Default"/>
        <w:numPr>
          <w:ilvl w:val="0"/>
          <w:numId w:val="3"/>
        </w:numPr>
        <w:spacing w:before="0" w:after="240"/>
        <w:jc w:val="both"/>
        <w:rPr>
          <w:rFonts w:ascii="Calibri" w:hAnsi="Calibri"/>
          <w:sz w:val="22"/>
          <w:szCs w:val="22"/>
        </w:rPr>
      </w:pPr>
      <w:r>
        <w:rPr>
          <w:rFonts w:cs="Calibri" w:cstheme="minorHAnsi"/>
          <w:sz w:val="22"/>
          <w:szCs w:val="22"/>
        </w:rPr>
        <w:t xml:space="preserve">αναλαμβάνει την υποχρέωση, σε περίπτωση που αναδειχθεί “προσωρινός ανάδοχος” να προσκομίσει τα “δικαιολογητικά προσωρινού ανάδοχου της παρ. </w:t>
      </w:r>
      <w:r>
        <w:rPr>
          <w:rFonts w:cs="Calibri" w:cstheme="minorHAnsi"/>
          <w:sz w:val="22"/>
          <w:szCs w:val="22"/>
          <w:shd w:fill="auto" w:val="clear"/>
        </w:rPr>
        <w:t xml:space="preserve">6.1 </w:t>
      </w:r>
      <w:r>
        <w:rPr>
          <w:rFonts w:cs="Calibri" w:cstheme="minorHAnsi"/>
          <w:sz w:val="22"/>
          <w:szCs w:val="22"/>
        </w:rPr>
        <w:t>της παρούσας Πρόσκλησης.</w:t>
      </w:r>
    </w:p>
    <w:p>
      <w:pPr>
        <w:pStyle w:val="Default"/>
        <w:spacing w:before="0" w:after="240"/>
        <w:jc w:val="both"/>
        <w:rPr/>
      </w:pPr>
      <w:r>
        <w:rPr>
          <w:rFonts w:cs="Calibri" w:cstheme="minorHAnsi"/>
          <w:b/>
          <w:bCs/>
          <w:sz w:val="22"/>
          <w:szCs w:val="22"/>
        </w:rPr>
        <w:t xml:space="preserve">3. </w:t>
      </w:r>
      <w:r>
        <w:rPr>
          <w:rStyle w:val="Fontstyle01"/>
          <w:rFonts w:cs="Calibri" w:cstheme="minorHAnsi"/>
          <w:b/>
          <w:bCs/>
          <w:color w:val="auto"/>
          <w:sz w:val="22"/>
          <w:szCs w:val="22"/>
        </w:rPr>
        <w:t xml:space="preserve"> Τα παρακάτω δικαιολογητικά, τα οποία θα πρέπει να είναι σε ισχύ:</w:t>
      </w:r>
    </w:p>
    <w:p>
      <w:pPr>
        <w:pStyle w:val="Default"/>
        <w:numPr>
          <w:ilvl w:val="0"/>
          <w:numId w:val="5"/>
        </w:numPr>
        <w:tabs>
          <w:tab w:val="clear" w:pos="720"/>
          <w:tab w:val="left" w:pos="709" w:leader="none"/>
        </w:tabs>
        <w:spacing w:before="240" w:after="27"/>
        <w:ind w:left="709" w:hanging="425"/>
        <w:jc w:val="both"/>
        <w:rPr/>
      </w:pPr>
      <w:r>
        <w:rPr>
          <w:rStyle w:val="Fontstyle01"/>
          <w:rFonts w:cs="Calibri" w:cstheme="minorHAnsi"/>
          <w:color w:val="auto"/>
          <w:sz w:val="22"/>
          <w:szCs w:val="22"/>
        </w:rPr>
        <w:t>Απόσπασμα Ποινικού Μητρώου σύμφωνα με τα οριζόμενα της παραγράφου 1 του άρθρου 73 του ν.4412/2016</w:t>
      </w:r>
      <w:r>
        <w:rPr>
          <w:rStyle w:val="Fontstyle01"/>
          <w:rFonts w:eastAsia="Calibri"/>
          <w:color w:val="auto"/>
          <w:kern w:val="0"/>
          <w:sz w:val="22"/>
          <w:szCs w:val="22"/>
          <w:lang w:val="el-GR" w:eastAsia="en-US" w:bidi="ar-SA"/>
        </w:rPr>
        <w:t xml:space="preserve">.Εφόσον έχει εκδοθεί έως τρεις (3) μήνες πριν από την υποβολή του, από το οποίο προκύπτει ότι δεν έχει καταδικασθεί για αδίκημα σχετικό με την άσκηση της επαγγελματικής τους δραστηριότητας. </w:t>
      </w:r>
    </w:p>
    <w:p>
      <w:pPr>
        <w:pStyle w:val="Default"/>
        <w:numPr>
          <w:ilvl w:val="0"/>
          <w:numId w:val="5"/>
        </w:numPr>
        <w:tabs>
          <w:tab w:val="clear" w:pos="720"/>
          <w:tab w:val="left" w:pos="851" w:leader="none"/>
        </w:tabs>
        <w:spacing w:before="240" w:after="27"/>
        <w:ind w:left="709" w:hanging="425"/>
        <w:jc w:val="both"/>
        <w:rPr/>
      </w:pPr>
      <w:r>
        <w:rPr>
          <w:rStyle w:val="Fontstyle01"/>
          <w:rFonts w:cs="Calibri" w:cstheme="minorHAnsi"/>
          <w:color w:val="auto"/>
          <w:sz w:val="22"/>
          <w:szCs w:val="22"/>
        </w:rPr>
        <w:t>Ασφαλιστική ενημερότητα σύμφωνα με τα οριζόμενα της παραγράφου 2 του άρθρου 73 του ν.4412/2016.</w:t>
      </w:r>
      <w:r>
        <w:rPr>
          <w:rStyle w:val="Fontstyle01"/>
          <w:rFonts w:eastAsia="Calibri"/>
          <w:color w:val="auto"/>
          <w:kern w:val="0"/>
          <w:sz w:val="22"/>
          <w:szCs w:val="22"/>
          <w:lang w:val="el-GR" w:eastAsia="en-US" w:bidi="ar-SA"/>
        </w:rPr>
        <w:t>Εφόσον είναι σε ισχύ κατά τον χρόνο υποβολής του από τον προσωρινό ανάδοχο. Άλλως, στην περίπτωση που δεν αναφέρεται χρόνος ισχύος σε αυτό, εφόσον έχουν εκδοθεί έως τρεις (3) μήνες πριν από την υποβολή του.</w:t>
      </w:r>
    </w:p>
    <w:p>
      <w:pPr>
        <w:pStyle w:val="Default"/>
        <w:numPr>
          <w:ilvl w:val="0"/>
          <w:numId w:val="5"/>
        </w:numPr>
        <w:tabs>
          <w:tab w:val="clear" w:pos="720"/>
          <w:tab w:val="left" w:pos="851" w:leader="none"/>
        </w:tabs>
        <w:spacing w:before="240" w:after="27"/>
        <w:ind w:left="709" w:hanging="425"/>
        <w:jc w:val="both"/>
        <w:rPr/>
      </w:pPr>
      <w:r>
        <w:rPr>
          <w:rStyle w:val="Fontstyle01"/>
          <w:rFonts w:cs="Calibri" w:cstheme="minorHAnsi"/>
          <w:color w:val="auto"/>
          <w:sz w:val="22"/>
          <w:szCs w:val="22"/>
        </w:rPr>
        <w:t>Φορολογική ενημερότητα σύμφωνα με τα οριζόμενα της παραγράφου 2 του άρθρου 73 του ν.4412/2016.</w:t>
      </w:r>
      <w:r>
        <w:rPr>
          <w:rStyle w:val="Fontstyle01"/>
          <w:rFonts w:eastAsia="Calibri"/>
          <w:color w:val="auto"/>
          <w:kern w:val="0"/>
          <w:sz w:val="22"/>
          <w:szCs w:val="22"/>
          <w:lang w:val="el-GR" w:eastAsia="en-US" w:bidi="ar-SA"/>
        </w:rPr>
        <w:t>Εφόσον είναι σε ισχύ κατά τον χρόνο υποβολής του από τον προσωρινό ανάδοχο. Άλλως, στην περίπτωση που δεν αναφέρεται χρόνος ισχύος σε αυτό, εφόσον έχουν εκδοθεί έως τρεις (3) μήνες πριν από την υποβολή του.</w:t>
      </w:r>
    </w:p>
    <w:p>
      <w:pPr>
        <w:pStyle w:val="Default"/>
        <w:numPr>
          <w:ilvl w:val="0"/>
          <w:numId w:val="5"/>
        </w:numPr>
        <w:tabs>
          <w:tab w:val="clear" w:pos="720"/>
          <w:tab w:val="left" w:pos="851" w:leader="none"/>
        </w:tabs>
        <w:spacing w:before="240" w:after="27"/>
        <w:ind w:left="709" w:hanging="425"/>
        <w:jc w:val="both"/>
        <w:rPr/>
      </w:pPr>
      <w:r>
        <w:rPr>
          <w:rStyle w:val="Fontstyle01"/>
          <w:rFonts w:cs="Calibri" w:cstheme="minorHAnsi"/>
          <w:color w:val="auto"/>
          <w:sz w:val="22"/>
          <w:szCs w:val="22"/>
        </w:rPr>
        <w:t xml:space="preserve">Πιστοποιητικό ή βεβαίωση του οικείου επαγγελματικού ή εμπορικού μητρώου με το οποίο να πιστοποιείται αφενός η εγγραφή τους σε αυτό και αφετέρου το ειδικό επάγγελμα τους. </w:t>
      </w:r>
      <w:r>
        <w:rPr>
          <w:rStyle w:val="Fontstyle01"/>
          <w:rFonts w:eastAsia="Calibri"/>
          <w:color w:val="auto"/>
          <w:kern w:val="0"/>
          <w:sz w:val="22"/>
          <w:szCs w:val="22"/>
          <w:lang w:val="el-GR" w:eastAsia="en-US" w:bidi="ar-SA"/>
        </w:rPr>
        <w:t>Εφόσον έχει εκδοθεί έως τριάντα (30) μέρες εργάσιμες πριν από την υποβολή του.</w:t>
      </w:r>
    </w:p>
    <w:p>
      <w:pPr>
        <w:pStyle w:val="Default"/>
        <w:numPr>
          <w:ilvl w:val="0"/>
          <w:numId w:val="5"/>
        </w:numPr>
        <w:tabs>
          <w:tab w:val="clear" w:pos="720"/>
          <w:tab w:val="left" w:pos="851" w:leader="none"/>
        </w:tabs>
        <w:spacing w:before="240" w:after="27"/>
        <w:ind w:left="709" w:hanging="425"/>
        <w:jc w:val="both"/>
        <w:rPr>
          <w:b w:val="false"/>
          <w:b w:val="false"/>
          <w:bCs w:val="false"/>
          <w:sz w:val="22"/>
          <w:szCs w:val="22"/>
        </w:rPr>
      </w:pPr>
      <w:r>
        <w:rPr>
          <w:rFonts w:eastAsia="Times New Roman" w:cs="Calibri" w:cstheme="minorHAnsi"/>
          <w:b w:val="false"/>
          <w:bCs w:val="false"/>
          <w:color w:val="000000"/>
          <w:sz w:val="22"/>
          <w:szCs w:val="22"/>
          <w:shd w:fill="auto" w:val="clear"/>
          <w:lang w:eastAsia="el-GR"/>
        </w:rPr>
        <w:t xml:space="preserve">Πιστοποιητικό που εκδίδεται από αρμόδια αρχή, στην οποία φαίνεται εάν ο οικονομικός φορέας τελεί υπό πτώχευση ή έχει υπαχθεί σε διαδικασία εξυγίανσης ή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w:t>
      </w:r>
      <w:r>
        <w:rPr>
          <w:rFonts w:eastAsia="Times New Roman" w:cs="Calibri" w:cstheme="minorHAnsi"/>
          <w:b w:val="false"/>
          <w:bCs w:val="false"/>
          <w:color w:val="000000"/>
          <w:kern w:val="0"/>
          <w:sz w:val="22"/>
          <w:szCs w:val="22"/>
          <w:shd w:fill="auto" w:val="clear"/>
          <w:lang w:val="el-GR" w:eastAsia="el-GR" w:bidi="ar-SA"/>
        </w:rPr>
        <w:t>Eφόσον έχουν εκδοθεί έως τρεις (3) μήνες πριν από την υποβολή τους. Όπου το έγγραφο ή</w:t>
      </w:r>
      <w:r>
        <w:rPr>
          <w:rFonts w:eastAsia="Times New Roman" w:cs="Calibri" w:cstheme="minorHAnsi"/>
          <w:b w:val="false"/>
          <w:bCs w:val="false"/>
          <w:color w:val="000000"/>
          <w:sz w:val="22"/>
          <w:szCs w:val="22"/>
          <w:shd w:fill="auto" w:val="clear"/>
          <w:lang w:eastAsia="el-GR"/>
        </w:rPr>
        <w:t xml:space="preserve"> το πιστοποιητικό αυτό δεν καλύπτει όλες τις περιπτώσεις που αναφέρονται μπορεί να αντικαθίσταται από ένορκη βεβαίωση.</w:t>
      </w:r>
    </w:p>
    <w:p>
      <w:pPr>
        <w:pStyle w:val="Normal"/>
        <w:spacing w:before="240" w:after="200"/>
        <w:jc w:val="both"/>
        <w:rPr>
          <w:rFonts w:ascii="Calibri" w:hAnsi="Calibri"/>
          <w:sz w:val="22"/>
          <w:szCs w:val="22"/>
        </w:rPr>
      </w:pPr>
      <w:r>
        <w:rPr>
          <w:rFonts w:eastAsia="Calibri" w:cs="Calibri" w:cstheme="minorHAnsi"/>
          <w:b/>
          <w:sz w:val="22"/>
          <w:szCs w:val="22"/>
        </w:rPr>
        <w:t>4</w:t>
      </w:r>
      <w:r>
        <w:rPr>
          <w:rFonts w:eastAsia="Calibri" w:cs="Calibri" w:cstheme="minorHAnsi"/>
          <w:sz w:val="22"/>
          <w:szCs w:val="22"/>
        </w:rPr>
        <w:t xml:space="preserve">. 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cstheme="minorHAnsi"/>
          <w:b/>
          <w:sz w:val="22"/>
          <w:szCs w:val="22"/>
          <w:u w:val="single"/>
        </w:rPr>
        <w:t>νομιμοποιητικά έγγραφα σύστασης και νόμιμης εκπροσώπησης</w:t>
      </w:r>
      <w:r>
        <w:rPr>
          <w:rFonts w:eastAsia="Calibri" w:cs="Calibri" w:cstheme="minorHAnsi"/>
          <w:sz w:val="22"/>
          <w:szCs w:val="22"/>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Normal"/>
        <w:spacing w:lineRule="auto" w:line="240"/>
        <w:jc w:val="both"/>
        <w:rPr>
          <w:rFonts w:ascii="Calibri" w:hAnsi="Calibri"/>
          <w:sz w:val="22"/>
          <w:szCs w:val="22"/>
        </w:rPr>
      </w:pPr>
      <w:r>
        <w:rPr>
          <w:rFonts w:eastAsia="Times New Roman" w:cs="Calibri" w:cstheme="minorHAnsi"/>
          <w:b/>
          <w:sz w:val="22"/>
          <w:szCs w:val="22"/>
          <w:lang w:eastAsia="el-GR"/>
        </w:rPr>
        <w:t xml:space="preserve">5. Παραστατικό εκπροσώπησης, </w:t>
      </w:r>
      <w:r>
        <w:rPr>
          <w:rFonts w:eastAsia="Times New Roman" w:cs="Calibri" w:cstheme="minorHAnsi"/>
          <w:sz w:val="22"/>
          <w:szCs w:val="22"/>
          <w:lang w:eastAsia="el-GR"/>
        </w:rPr>
        <w:t>εφόσον οι οικονομικοί φορείς συμμετέχουν στο διαγωνισμό με αντιπρόσωπό τους</w:t>
      </w:r>
    </w:p>
    <w:p>
      <w:pPr>
        <w:pStyle w:val="Normal"/>
        <w:spacing w:lineRule="auto" w:line="240" w:before="0" w:after="0"/>
        <w:jc w:val="center"/>
        <w:rPr>
          <w:rFonts w:ascii="Calibri" w:hAnsi="Calibri" w:eastAsia="Times New Roman" w:cs="Calibri" w:cstheme="minorHAnsi"/>
          <w:b/>
          <w:b/>
          <w:sz w:val="22"/>
          <w:szCs w:val="22"/>
          <w:u w:val="single"/>
          <w:lang w:eastAsia="el-GR"/>
        </w:rPr>
      </w:pPr>
      <w:r>
        <w:rPr>
          <w:rFonts w:eastAsia="Times New Roman" w:cs="Calibri" w:cstheme="minorHAnsi"/>
          <w:b/>
          <w:sz w:val="22"/>
          <w:szCs w:val="22"/>
          <w:u w:val="single"/>
          <w:lang w:eastAsia="el-GR"/>
        </w:rPr>
      </w:r>
    </w:p>
    <w:p>
      <w:pPr>
        <w:pStyle w:val="Normal"/>
        <w:spacing w:lineRule="auto" w:line="240" w:before="0" w:after="0"/>
        <w:jc w:val="center"/>
        <w:rPr>
          <w:rFonts w:ascii="Calibri" w:hAnsi="Calibri"/>
          <w:sz w:val="22"/>
          <w:szCs w:val="22"/>
        </w:rPr>
      </w:pPr>
      <w:r>
        <w:rPr>
          <w:rFonts w:eastAsia="Times New Roman" w:cs="Calibri" w:cstheme="minorHAnsi"/>
          <w:b/>
          <w:sz w:val="22"/>
          <w:szCs w:val="22"/>
          <w:u w:val="single"/>
          <w:lang w:eastAsia="el-GR"/>
        </w:rPr>
        <w:t>Υποφάκελος Β΄: Τεχνική Προσφορά</w:t>
      </w:r>
    </w:p>
    <w:p>
      <w:pPr>
        <w:pStyle w:val="Normal"/>
        <w:spacing w:lineRule="auto" w:line="240" w:before="0" w:after="0"/>
        <w:contextualSpacing/>
        <w:jc w:val="both"/>
        <w:rPr>
          <w:rFonts w:ascii="Calibri" w:hAnsi="Calibri" w:eastAsia="Calibri" w:cs="Calibri" w:cstheme="minorHAnsi"/>
          <w:sz w:val="22"/>
          <w:szCs w:val="22"/>
          <w:lang w:eastAsia="el-GR"/>
        </w:rPr>
      </w:pPr>
      <w:r>
        <w:rPr>
          <w:rFonts w:eastAsia="Calibri" w:cs="Calibri" w:cstheme="minorHAnsi"/>
          <w:sz w:val="22"/>
          <w:szCs w:val="22"/>
          <w:lang w:eastAsia="el-GR"/>
        </w:rPr>
      </w:r>
    </w:p>
    <w:p>
      <w:pPr>
        <w:pStyle w:val="Normal"/>
        <w:spacing w:before="0" w:after="0"/>
        <w:jc w:val="both"/>
        <w:rPr>
          <w:rFonts w:ascii="Calibri" w:hAnsi="Calibri"/>
          <w:sz w:val="22"/>
          <w:szCs w:val="22"/>
        </w:rPr>
      </w:pPr>
      <w:r>
        <w:rPr>
          <w:rFonts w:eastAsia="Times New Roman" w:cs="Calibri" w:cstheme="minorHAnsi"/>
          <w:sz w:val="22"/>
          <w:szCs w:val="22"/>
          <w:lang w:eastAsia="el-GR"/>
        </w:rPr>
        <w:t xml:space="preserve">Η Τεχνική Προσφορά </w:t>
      </w:r>
      <w:r>
        <w:rPr>
          <w:rFonts w:eastAsia="Times New Roman" w:cs="Calibri" w:cstheme="minorHAnsi"/>
          <w:sz w:val="22"/>
          <w:szCs w:val="22"/>
          <w:lang w:eastAsia="zh-CN"/>
        </w:rPr>
        <w:t xml:space="preserve">θα πρέπει </w:t>
      </w:r>
      <w:r>
        <w:rPr>
          <w:rFonts w:eastAsia="Times New Roman" w:cs="Calibri" w:cstheme="minorHAnsi"/>
          <w:sz w:val="22"/>
          <w:szCs w:val="22"/>
          <w:lang w:eastAsia="el-GR"/>
        </w:rPr>
        <w:t>να υποβάλλεται</w:t>
      </w:r>
      <w:r>
        <w:rPr>
          <w:rFonts w:eastAsia="Times New Roman" w:cs="Calibri" w:cstheme="minorHAnsi"/>
          <w:b/>
          <w:sz w:val="22"/>
          <w:szCs w:val="22"/>
          <w:lang w:eastAsia="el-GR"/>
        </w:rPr>
        <w:t xml:space="preserve"> σε έντυπη μορφή</w:t>
      </w:r>
      <w:r>
        <w:rPr>
          <w:rFonts w:eastAsia="Times New Roman" w:cs="Calibri" w:cstheme="minorHAnsi"/>
          <w:sz w:val="22"/>
          <w:szCs w:val="22"/>
          <w:lang w:eastAsia="el-GR"/>
        </w:rPr>
        <w:t xml:space="preserve"> σε </w:t>
      </w:r>
      <w:r>
        <w:rPr>
          <w:rFonts w:eastAsia="Times New Roman" w:cs="Calibri" w:cstheme="minorHAnsi"/>
          <w:b/>
          <w:sz w:val="22"/>
          <w:szCs w:val="22"/>
          <w:lang w:eastAsia="el-GR"/>
        </w:rPr>
        <w:t>δύο αντίτυπα, ένα πρωτότυπο και ένα αντίγραφο</w:t>
      </w:r>
      <w:r>
        <w:rPr>
          <w:rFonts w:eastAsia="Times New Roman" w:cs="Calibri" w:cstheme="minorHAnsi"/>
          <w:sz w:val="22"/>
          <w:szCs w:val="22"/>
          <w:lang w:eastAsia="el-GR"/>
        </w:rPr>
        <w:t>, υπογεγραμμένη και σφραγισμένη σε κάθε σελίδα.</w:t>
      </w:r>
    </w:p>
    <w:p>
      <w:pPr>
        <w:pStyle w:val="Style19"/>
        <w:widowControl/>
        <w:suppressAutoHyphens w:val="true"/>
        <w:bidi w:val="0"/>
        <w:spacing w:before="0" w:after="0"/>
        <w:ind w:left="0" w:right="-227" w:hanging="0"/>
        <w:jc w:val="both"/>
        <w:rPr>
          <w:rFonts w:ascii="Calibri" w:hAnsi="Calibri"/>
          <w:sz w:val="22"/>
          <w:szCs w:val="22"/>
        </w:rPr>
      </w:pPr>
      <w:r>
        <w:rPr>
          <w:rFonts w:cs="Calibri"/>
          <w:b w:val="false"/>
          <w:i w:val="false"/>
          <w:color w:val="000000"/>
          <w:sz w:val="22"/>
          <w:szCs w:val="22"/>
          <w:shd w:fill="auto" w:val="clear"/>
        </w:rPr>
        <w:t xml:space="preserve">H τεχνική προσφορά θα πρέπει να καλύπτει όλες τις απαιτήσεις και τις προδιαγραφές που </w:t>
      </w:r>
      <w:r>
        <w:rPr>
          <w:rFonts w:cs="Calibri"/>
          <w:sz w:val="22"/>
          <w:szCs w:val="22"/>
          <w:shd w:fill="auto" w:val="clear"/>
        </w:rPr>
        <w:t>έχουν τεθεί από την αναθέτουσα αρχή με το κεφάλαιο «Αιτούμενα Είδη/Εξετάσεις –Τεχνικές Προδιαγραφές και Απαιτήσεις» του Παραρτήματος</w:t>
      </w:r>
      <w:r>
        <w:rPr>
          <w:rFonts w:cs="Calibri"/>
          <w:sz w:val="22"/>
          <w:szCs w:val="22"/>
          <w:shd w:fill="auto" w:val="clear"/>
          <w:lang w:val="el-GR"/>
        </w:rPr>
        <w:t xml:space="preserve"> 1 </w:t>
      </w:r>
      <w:r>
        <w:rPr>
          <w:rFonts w:cs="Calibri"/>
          <w:sz w:val="22"/>
          <w:szCs w:val="22"/>
          <w:shd w:fill="auto" w:val="clear"/>
        </w:rPr>
        <w:t xml:space="preserve">της </w:t>
      </w:r>
      <w:r>
        <w:rPr>
          <w:rFonts w:cs="Calibri"/>
          <w:sz w:val="22"/>
          <w:szCs w:val="22"/>
          <w:shd w:fill="auto" w:val="clear"/>
          <w:lang w:val="el-GR"/>
        </w:rPr>
        <w:t>Πρόσκλησης</w:t>
      </w:r>
      <w:r>
        <w:rPr>
          <w:rFonts w:cs="Calibri"/>
          <w:sz w:val="22"/>
          <w:szCs w:val="22"/>
          <w:shd w:fill="auto" w:val="clear"/>
        </w:rPr>
        <w:t>, περιγράφοντας ακριβώς πώς οι συγκεκριμένες απαιτήσεις και προδιαγραφές πληρούνται.</w:t>
      </w:r>
      <w:r>
        <w:rPr>
          <w:rFonts w:cs="Calibri"/>
          <w:b/>
          <w:bCs/>
          <w:sz w:val="22"/>
          <w:szCs w:val="22"/>
          <w:u w:val="single"/>
          <w:shd w:fill="auto" w:val="clear"/>
        </w:rPr>
        <w:t xml:space="preserve"> </w:t>
      </w:r>
      <w:r>
        <w:rPr>
          <w:rFonts w:eastAsia="Times New Roman" w:cs="Calibri"/>
          <w:b/>
          <w:bCs/>
          <w:i w:val="false"/>
          <w:color w:val="000000"/>
          <w:sz w:val="22"/>
          <w:szCs w:val="22"/>
          <w:u w:val="single"/>
          <w:shd w:fill="auto" w:val="clear"/>
          <w:lang w:val="en-GB" w:eastAsia="zh-CN" w:bidi="ar-SA"/>
        </w:rPr>
        <w:t xml:space="preserve">Περιλαμβάνει ιδίως τα έγγραφα και δικαιολογητικά, βάσει των οποίων θα αξιολογηθεί η καταλληλότητα των προσφερόμενων ειδών, σύμφωνα με τα </w:t>
      </w:r>
      <w:r>
        <w:rPr>
          <w:rFonts w:eastAsia="Times New Roman" w:cs="Calibri"/>
          <w:b/>
          <w:bCs/>
          <w:i w:val="false"/>
          <w:color w:val="000000"/>
          <w:kern w:val="2"/>
          <w:sz w:val="22"/>
          <w:szCs w:val="22"/>
          <w:u w:val="single"/>
          <w:shd w:fill="auto" w:val="clear"/>
          <w:lang w:val="en-GB" w:eastAsia="zh-CN" w:bidi="ar-SA"/>
        </w:rPr>
        <w:t>αναλυτικώς αναφερόμενα στο ως άνω Παράρτημα.</w:t>
      </w:r>
    </w:p>
    <w:p>
      <w:pPr>
        <w:pStyle w:val="Style19"/>
        <w:widowControl/>
        <w:suppressAutoHyphens w:val="true"/>
        <w:bidi w:val="0"/>
        <w:spacing w:before="0" w:after="0"/>
        <w:ind w:left="0" w:right="-227" w:hanging="0"/>
        <w:jc w:val="both"/>
        <w:rPr>
          <w:rFonts w:ascii="Calibri" w:hAnsi="Calibri"/>
          <w:sz w:val="22"/>
          <w:szCs w:val="22"/>
        </w:rPr>
      </w:pPr>
      <w:r>
        <w:rPr>
          <w:sz w:val="22"/>
          <w:szCs w:val="22"/>
        </w:rPr>
      </w:r>
    </w:p>
    <w:p>
      <w:pPr>
        <w:pStyle w:val="Style19"/>
        <w:spacing w:before="0" w:after="0"/>
        <w:rPr>
          <w:rFonts w:ascii="Calibri" w:hAnsi="Calibri" w:cs="Calibri"/>
          <w:b/>
          <w:b/>
          <w:bCs/>
          <w:sz w:val="22"/>
          <w:szCs w:val="22"/>
          <w:u w:val="single"/>
          <w:shd w:fill="auto" w:val="clear"/>
        </w:rPr>
      </w:pPr>
      <w:r>
        <w:rPr>
          <w:rFonts w:cs="Calibri"/>
          <w:b/>
          <w:bCs/>
          <w:sz w:val="22"/>
          <w:szCs w:val="22"/>
          <w:u w:val="single"/>
          <w:shd w:fill="auto" w:val="clear"/>
        </w:rPr>
        <w:t>Επιπλέον των ανωτέρω εντός της τεχνικής προσφοράς συμπεριλαμβάνονται και τα κάτωθι:</w:t>
      </w:r>
    </w:p>
    <w:p>
      <w:pPr>
        <w:pStyle w:val="Style19"/>
        <w:spacing w:lineRule="auto" w:line="240" w:before="0" w:after="12"/>
        <w:rPr>
          <w:rFonts w:ascii="Calibri" w:hAnsi="Calibri" w:cs="Calibri"/>
          <w:b/>
          <w:b/>
          <w:bCs/>
          <w:sz w:val="22"/>
          <w:szCs w:val="22"/>
          <w:u w:val="single"/>
          <w:shd w:fill="auto" w:val="clear"/>
        </w:rPr>
      </w:pPr>
      <w:r>
        <w:rPr>
          <w:rFonts w:cs="Calibri"/>
          <w:b/>
          <w:bCs/>
          <w:sz w:val="22"/>
          <w:szCs w:val="22"/>
          <w:u w:val="single"/>
          <w:shd w:fill="auto" w:val="clear"/>
        </w:rPr>
        <w:t>Με την τεχνική προσφορά υποβάλλονται :</w:t>
      </w:r>
    </w:p>
    <w:p>
      <w:pPr>
        <w:pStyle w:val="Style19"/>
        <w:spacing w:lineRule="auto" w:line="240" w:before="0" w:after="12"/>
        <w:jc w:val="left"/>
        <w:rPr>
          <w:rFonts w:ascii="Calibri" w:hAnsi="Calibri"/>
          <w:sz w:val="22"/>
          <w:szCs w:val="22"/>
        </w:rPr>
      </w:pPr>
      <w:r>
        <w:rPr>
          <w:rFonts w:cs="Calibri"/>
          <w:b/>
          <w:bCs/>
          <w:sz w:val="22"/>
          <w:szCs w:val="22"/>
          <w:shd w:fill="auto" w:val="clear"/>
          <w:lang w:val="el-GR"/>
        </w:rPr>
        <w:t xml:space="preserve">1) Φύλλο συμμόρφωσης </w:t>
      </w:r>
      <w:r>
        <w:rPr>
          <w:rFonts w:cs="Calibri"/>
          <w:b/>
          <w:bCs/>
          <w:color w:val="000000"/>
          <w:sz w:val="22"/>
          <w:szCs w:val="22"/>
          <w:u w:val="single"/>
          <w:shd w:fill="auto" w:val="clear"/>
          <w:lang w:val="el-GR" w:eastAsia="zh-CN"/>
        </w:rPr>
        <w:t>ψηφιακά υπογεγραμμένο</w:t>
      </w:r>
      <w:r>
        <w:rPr>
          <w:rFonts w:cs="Calibri"/>
          <w:b/>
          <w:bCs/>
          <w:color w:val="000000"/>
          <w:sz w:val="22"/>
          <w:szCs w:val="22"/>
          <w:shd w:fill="auto" w:val="clear"/>
          <w:lang w:val="el-GR" w:eastAsia="zh-CN"/>
        </w:rPr>
        <w:t xml:space="preserve">, </w:t>
      </w:r>
      <w:r>
        <w:rPr>
          <w:rFonts w:cs="Calibri"/>
          <w:sz w:val="22"/>
          <w:szCs w:val="22"/>
          <w:shd w:fill="auto" w:val="clear"/>
          <w:lang w:val="el-GR"/>
        </w:rPr>
        <w:t>επί ποινή απόρριψης (</w:t>
      </w:r>
      <w:r>
        <w:rPr>
          <w:rFonts w:cs="Calibri"/>
          <w:b/>
          <w:bCs/>
          <w:sz w:val="22"/>
          <w:szCs w:val="22"/>
          <w:shd w:fill="auto" w:val="clear"/>
          <w:lang w:val="el-GR"/>
        </w:rPr>
        <w:t>για το τμήμα ή τα τμήματα που γίνετε προσφορά</w:t>
      </w:r>
      <w:r>
        <w:rPr>
          <w:rFonts w:cs="Calibri"/>
          <w:sz w:val="22"/>
          <w:szCs w:val="22"/>
          <w:shd w:fill="auto" w:val="clear"/>
          <w:lang w:val="el-GR"/>
        </w:rPr>
        <w:t>), συμπληρωμένο σύμφωνα με τις οδηγίες και επεξηγήσεις του</w:t>
      </w:r>
      <w:r>
        <w:rPr>
          <w:rFonts w:cs="Calibri"/>
          <w:sz w:val="22"/>
          <w:szCs w:val="22"/>
          <w:shd w:fill="auto" w:val="clear"/>
          <w:lang w:val="en-US"/>
        </w:rPr>
        <w:t xml:space="preserve"> </w:t>
      </w:r>
      <w:r>
        <w:rPr>
          <w:rFonts w:cs="Calibri"/>
          <w:b/>
          <w:bCs/>
          <w:sz w:val="22"/>
          <w:szCs w:val="22"/>
          <w:shd w:fill="auto" w:val="clear"/>
          <w:lang w:val="el-GR"/>
        </w:rPr>
        <w:t>του ΠΑΡΑΡΤΗΜΑΤΟΣ 1,</w:t>
      </w:r>
      <w:r>
        <w:rPr>
          <w:rFonts w:cs="Calibri"/>
          <w:sz w:val="22"/>
          <w:szCs w:val="22"/>
          <w:shd w:fill="auto" w:val="clear"/>
          <w:lang w:val="el-GR"/>
        </w:rPr>
        <w:t xml:space="preserve"> </w:t>
      </w:r>
      <w:r>
        <w:rPr>
          <w:rFonts w:eastAsia="Times New Roman" w:cs="Calibri"/>
          <w:b/>
          <w:bCs/>
          <w:color w:val="000000"/>
          <w:sz w:val="22"/>
          <w:szCs w:val="22"/>
          <w:u w:val="none"/>
          <w:shd w:fill="auto" w:val="clear"/>
          <w:lang w:val="el-GR" w:eastAsia="zh-CN" w:bidi="ar-SA"/>
        </w:rPr>
        <w:t>ΜΕΡΟΣ Α</w:t>
      </w:r>
      <w:r>
        <w:rPr>
          <w:rFonts w:cs="Arial"/>
          <w:b/>
          <w:color w:val="002060"/>
          <w:sz w:val="22"/>
          <w:szCs w:val="22"/>
          <w:u w:val="none"/>
          <w:shd w:fill="auto" w:val="clear"/>
          <w:lang w:val="el-GR"/>
        </w:rPr>
        <w:t xml:space="preserve"> </w:t>
      </w:r>
      <w:r>
        <w:rPr>
          <w:rFonts w:cs="Calibri"/>
          <w:b/>
          <w:bCs/>
          <w:sz w:val="22"/>
          <w:szCs w:val="22"/>
          <w:shd w:fill="auto" w:val="clear"/>
          <w:lang w:val="el-GR"/>
        </w:rPr>
        <w:t>«</w:t>
      </w:r>
      <w:r>
        <w:rPr>
          <w:rFonts w:eastAsia="Times New Roman" w:cs="Calibri"/>
          <w:b/>
          <w:bCs/>
          <w:i w:val="false"/>
          <w:iCs w:val="false"/>
          <w:color w:val="000000"/>
          <w:sz w:val="22"/>
          <w:szCs w:val="22"/>
          <w:u w:val="single"/>
          <w:shd w:fill="auto" w:val="clear"/>
          <w:lang w:val="el-GR" w:eastAsia="zh-CN" w:bidi="ar-SA"/>
        </w:rPr>
        <w:t>ΦΥΛΛΟ ΣΥΜΜΟΡΦΩΣΗΣ- ΤΕΧΝΙΚΕΣ ΠΡΟΔΙΑΓΡΑΦΕΣ</w:t>
      </w:r>
      <w:r>
        <w:rPr>
          <w:rFonts w:cs="Calibri"/>
          <w:b/>
          <w:bCs/>
          <w:sz w:val="22"/>
          <w:szCs w:val="22"/>
          <w:shd w:fill="auto" w:val="clear"/>
          <w:lang w:val="el-GR"/>
        </w:rPr>
        <w:t>»</w:t>
      </w:r>
      <w:r>
        <w:rPr>
          <w:rFonts w:cs="Calibri"/>
          <w:sz w:val="22"/>
          <w:szCs w:val="22"/>
          <w:shd w:fill="auto" w:val="clear"/>
          <w:lang w:val="el-GR"/>
        </w:rPr>
        <w:t xml:space="preserve">. Το φύλλο συμμόρφωσης έχει αναρτηθεί, και σε επεξεργάσιμη μορφή αρχείου </w:t>
      </w:r>
      <w:r>
        <w:rPr>
          <w:rFonts w:cs="Calibri"/>
          <w:sz w:val="22"/>
          <w:szCs w:val="22"/>
          <w:shd w:fill="auto" w:val="clear"/>
          <w:lang w:val="en-US"/>
        </w:rPr>
        <w:t>doc</w:t>
      </w:r>
      <w:r>
        <w:rPr>
          <w:rFonts w:cs="Calibri"/>
          <w:sz w:val="22"/>
          <w:szCs w:val="22"/>
          <w:shd w:fill="auto" w:val="clear"/>
          <w:lang w:val="el-GR"/>
        </w:rPr>
        <w:t>, στη διαδικτυακή πύλη www.promitheus.gov.gr του ΕΣΗΔΗΣ και αποτελεί αναπόσπαστο τμήμα της διακήρυξης.</w:t>
      </w:r>
    </w:p>
    <w:p>
      <w:pPr>
        <w:pStyle w:val="Style19"/>
        <w:spacing w:lineRule="auto" w:line="240" w:before="0" w:after="12"/>
        <w:jc w:val="left"/>
        <w:rPr>
          <w:rFonts w:ascii="Calibri" w:hAnsi="Calibri"/>
          <w:sz w:val="22"/>
          <w:szCs w:val="22"/>
        </w:rPr>
      </w:pPr>
      <w:r>
        <w:rPr>
          <w:rFonts w:eastAsia="Times New Roman" w:cs="Calibri"/>
          <w:b/>
          <w:bCs/>
          <w:sz w:val="22"/>
          <w:szCs w:val="22"/>
          <w:shd w:fill="auto" w:val="clear"/>
          <w:lang w:val="el-GR" w:eastAsia="el-GR"/>
        </w:rPr>
        <w:t xml:space="preserve">2) Φύλλο συμμόρφωσης </w:t>
      </w:r>
      <w:r>
        <w:rPr>
          <w:rFonts w:eastAsia="Times New Roman" w:cs="Calibri"/>
          <w:b/>
          <w:bCs/>
          <w:color w:val="000000"/>
          <w:sz w:val="22"/>
          <w:szCs w:val="22"/>
          <w:u w:val="single"/>
          <w:shd w:fill="auto" w:val="clear"/>
          <w:lang w:val="el-GR" w:eastAsia="zh-CN"/>
        </w:rPr>
        <w:t>ψηφιακά υπογεγραμμένο</w:t>
      </w:r>
      <w:r>
        <w:rPr>
          <w:rFonts w:eastAsia="Times New Roman" w:cs="Calibri"/>
          <w:b/>
          <w:bCs/>
          <w:color w:val="000000"/>
          <w:sz w:val="22"/>
          <w:szCs w:val="22"/>
          <w:shd w:fill="auto" w:val="clear"/>
          <w:lang w:val="el-GR" w:eastAsia="zh-CN"/>
        </w:rPr>
        <w:t xml:space="preserve">, </w:t>
      </w:r>
      <w:r>
        <w:rPr>
          <w:rFonts w:eastAsia="Times New Roman" w:cs="Calibri"/>
          <w:b w:val="false"/>
          <w:bCs w:val="false"/>
          <w:sz w:val="22"/>
          <w:szCs w:val="22"/>
          <w:shd w:fill="auto" w:val="clear"/>
          <w:lang w:val="el-GR" w:eastAsia="el-GR"/>
        </w:rPr>
        <w:t>επί ποινή απόρριψης, συμπληρωμένο</w:t>
      </w:r>
      <w:r>
        <w:rPr>
          <w:rFonts w:eastAsia="Times New Roman" w:cs="Calibri"/>
          <w:b/>
          <w:bCs/>
          <w:sz w:val="22"/>
          <w:szCs w:val="22"/>
          <w:shd w:fill="auto" w:val="clear"/>
          <w:lang w:val="el-GR" w:eastAsia="el-GR"/>
        </w:rPr>
        <w:t xml:space="preserve"> (ισχύει για όλα τα τμήματα), </w:t>
      </w:r>
      <w:r>
        <w:rPr>
          <w:rFonts w:eastAsia="Times New Roman" w:cs="Calibri"/>
          <w:b w:val="false"/>
          <w:bCs w:val="false"/>
          <w:sz w:val="22"/>
          <w:szCs w:val="22"/>
          <w:shd w:fill="auto" w:val="clear"/>
          <w:lang w:val="el-GR" w:eastAsia="el-GR"/>
        </w:rPr>
        <w:t>σύμφωνα με τις οδηγίες και επεξηγήσεις του</w:t>
      </w:r>
      <w:r>
        <w:rPr>
          <w:rFonts w:eastAsia="Times New Roman" w:cs="Calibri"/>
          <w:b/>
          <w:bCs/>
          <w:sz w:val="22"/>
          <w:szCs w:val="22"/>
          <w:shd w:fill="auto" w:val="clear"/>
          <w:lang w:val="el-GR" w:eastAsia="el-GR"/>
        </w:rPr>
        <w:t xml:space="preserve"> του ΠΑΡΑΤΗΜΑΤΟΣ 1, </w:t>
      </w:r>
      <w:r>
        <w:rPr>
          <w:rFonts w:eastAsia="Times New Roman" w:cs="Calibri"/>
          <w:b/>
          <w:bCs/>
          <w:color w:val="000000"/>
          <w:sz w:val="22"/>
          <w:szCs w:val="22"/>
          <w:u w:val="none"/>
          <w:shd w:fill="auto" w:val="clear"/>
          <w:lang w:val="el-GR" w:eastAsia="zh-CN" w:bidi="ar-SA"/>
        </w:rPr>
        <w:t>ΜΕΡΟΣ Β</w:t>
      </w:r>
      <w:r>
        <w:rPr>
          <w:rFonts w:eastAsia="Times New Roman" w:cs="Calibri"/>
          <w:b/>
          <w:bCs/>
          <w:sz w:val="22"/>
          <w:szCs w:val="22"/>
          <w:shd w:fill="auto" w:val="clear"/>
          <w:lang w:val="el-GR" w:eastAsia="el-GR"/>
        </w:rPr>
        <w:t xml:space="preserve"> «</w:t>
      </w:r>
      <w:r>
        <w:rPr>
          <w:rFonts w:eastAsia="Times New Roman" w:cs="Calibri"/>
          <w:b/>
          <w:bCs/>
          <w:i w:val="false"/>
          <w:iCs w:val="false"/>
          <w:color w:val="000000"/>
          <w:sz w:val="22"/>
          <w:szCs w:val="22"/>
          <w:u w:val="single"/>
          <w:shd w:fill="auto" w:val="clear"/>
          <w:lang w:val="el-GR" w:eastAsia="zh-CN" w:bidi="ar-SA"/>
        </w:rPr>
        <w:t>ΦΥΛΛΟ ΣΥΜΜΟΡΦΩΣΗΣ - ΑΠΑΙΤΗΣΕΩΝ ΚΑΙ ΓΕΝΙΚΕΣ ΠΡΟΔΙΑΓΡΑΦΕΣ</w:t>
      </w:r>
      <w:r>
        <w:rPr>
          <w:rFonts w:eastAsia="Times New Roman" w:cs="Calibri"/>
          <w:b/>
          <w:bCs/>
          <w:i w:val="false"/>
          <w:iCs w:val="false"/>
          <w:color w:val="002060"/>
          <w:sz w:val="22"/>
          <w:szCs w:val="22"/>
          <w:u w:val="single"/>
          <w:shd w:fill="auto" w:val="clear"/>
          <w:lang w:val="el-GR" w:eastAsia="en-US"/>
        </w:rPr>
        <w:t>».</w:t>
      </w:r>
    </w:p>
    <w:p>
      <w:pPr>
        <w:pStyle w:val="Style19"/>
        <w:widowControl/>
        <w:tabs>
          <w:tab w:val="clear" w:pos="720"/>
          <w:tab w:val="left" w:pos="426" w:leader="none"/>
        </w:tabs>
        <w:suppressAutoHyphens w:val="true"/>
        <w:bidi w:val="0"/>
        <w:spacing w:lineRule="auto" w:line="240" w:before="0" w:after="12"/>
        <w:ind w:left="170" w:right="0" w:hanging="170"/>
        <w:jc w:val="left"/>
        <w:rPr>
          <w:rFonts w:ascii="Calibri" w:hAnsi="Calibri"/>
          <w:sz w:val="22"/>
          <w:szCs w:val="22"/>
        </w:rPr>
      </w:pPr>
      <w:r>
        <w:rPr>
          <w:rFonts w:cs="Calibri" w:cstheme="minorHAnsi"/>
          <w:b/>
          <w:bCs/>
          <w:color w:val="000000"/>
          <w:sz w:val="22"/>
          <w:szCs w:val="22"/>
          <w:shd w:fill="auto" w:val="clear"/>
          <w:lang w:val="el-GR"/>
        </w:rPr>
        <w:t xml:space="preserve">3)Πίνακες </w:t>
      </w:r>
      <w:r>
        <w:rPr>
          <w:rFonts w:cs="Calibri" w:cstheme="minorHAnsi"/>
          <w:b/>
          <w:bCs/>
          <w:color w:val="000000"/>
          <w:sz w:val="22"/>
          <w:szCs w:val="22"/>
          <w:u w:val="none"/>
          <w:shd w:fill="auto" w:val="clear"/>
          <w:lang w:val="el-GR"/>
        </w:rPr>
        <w:t>ΧΩΡΙΣ ΤΙΜΕΣ</w:t>
      </w:r>
      <w:r>
        <w:rPr>
          <w:rFonts w:cs="Calibri" w:cstheme="minorHAnsi"/>
          <w:color w:val="000000"/>
          <w:sz w:val="22"/>
          <w:szCs w:val="22"/>
          <w:shd w:fill="auto" w:val="clear"/>
          <w:lang w:val="el-GR"/>
        </w:rPr>
        <w:t xml:space="preserve"> σύμφωνα με τ</w:t>
      </w:r>
      <w:r>
        <w:rPr>
          <w:rFonts w:cs="Calibri" w:cstheme="minorHAnsi"/>
          <w:color w:val="000000"/>
          <w:sz w:val="22"/>
          <w:szCs w:val="22"/>
          <w:shd w:fill="auto" w:val="clear"/>
          <w:lang w:val="en-US"/>
        </w:rPr>
        <w:t xml:space="preserve">o </w:t>
      </w:r>
      <w:r>
        <w:rPr>
          <w:rFonts w:cs="Calibri" w:cstheme="minorHAnsi"/>
          <w:color w:val="000000"/>
          <w:sz w:val="22"/>
          <w:szCs w:val="22"/>
          <w:shd w:fill="auto" w:val="clear"/>
          <w:lang w:val="el-GR"/>
        </w:rPr>
        <w:t>παρακάτω υπόδειγμα για κάθε τμήμα που υποβάλλουν προσφορά, έτσι ώστε να προκύπτουν α) τα Αντιδρα</w:t>
      </w:r>
      <w:r>
        <w:rPr>
          <w:rFonts w:cs="Calibri" w:cstheme="minorHAnsi"/>
          <w:color w:val="000000"/>
          <w:sz w:val="22"/>
          <w:szCs w:val="22"/>
          <w:shd w:fill="auto" w:val="clear"/>
          <w:lang w:val="en-US"/>
        </w:rPr>
        <w:t>στήρια,</w:t>
      </w:r>
      <w:r>
        <w:rPr>
          <w:rFonts w:cs="Calibri" w:cstheme="minorHAnsi"/>
          <w:color w:val="000000"/>
          <w:sz w:val="22"/>
          <w:szCs w:val="22"/>
          <w:shd w:fill="auto" w:val="clear"/>
          <w:lang w:val="el-GR"/>
        </w:rPr>
        <w:t xml:space="preserve"> </w:t>
      </w:r>
      <w:r>
        <w:rPr>
          <w:rFonts w:cs="Calibri" w:cstheme="minorHAnsi"/>
          <w:color w:val="000000"/>
          <w:sz w:val="22"/>
          <w:szCs w:val="22"/>
          <w:shd w:fill="auto" w:val="clear"/>
          <w:lang w:val="en-GB" w:eastAsia="zh-CN" w:bidi="ar-SA"/>
        </w:rPr>
        <w:t>controls, calibrators</w:t>
      </w:r>
      <w:r>
        <w:rPr>
          <w:rFonts w:cs="Calibri" w:cstheme="minorHAnsi"/>
          <w:color w:val="000000"/>
          <w:sz w:val="22"/>
          <w:szCs w:val="22"/>
          <w:shd w:fill="auto" w:val="clear"/>
          <w:lang w:val="el-GR"/>
        </w:rPr>
        <w:t xml:space="preserve"> και τα αναλώσιμα που απαιτούνται για κάθε εξέταση, β) οι εξετάσεις ανά συσκευασία του κάθε προσφερόμενου είδους και γ) οι απαιτούμενες συσκευασίες ανά έτος, σύμφωνα με τις ζητούμενες εξετάσεις.</w:t>
      </w:r>
    </w:p>
    <w:p>
      <w:pPr>
        <w:pStyle w:val="Normal"/>
        <w:tabs>
          <w:tab w:val="clear" w:pos="720"/>
          <w:tab w:val="left" w:pos="426" w:leader="none"/>
        </w:tabs>
        <w:spacing w:lineRule="auto" w:line="240" w:before="0" w:after="0"/>
        <w:ind w:left="284" w:hanging="142"/>
        <w:rPr>
          <w:rFonts w:cs="Calibri" w:cstheme="minorHAnsi"/>
          <w:color w:val="000000"/>
        </w:rPr>
      </w:pPr>
      <w:r>
        <w:rPr>
          <w:rFonts w:cs="Calibri" w:cstheme="minorHAnsi"/>
          <w:color w:val="000000"/>
        </w:rPr>
      </w:r>
    </w:p>
    <w:tbl>
      <w:tblPr>
        <w:tblW w:w="9504" w:type="dxa"/>
        <w:jc w:val="center"/>
        <w:tblInd w:w="0" w:type="dxa"/>
        <w:tblLayout w:type="fixed"/>
        <w:tblCellMar>
          <w:top w:w="50" w:type="dxa"/>
          <w:left w:w="50" w:type="dxa"/>
          <w:bottom w:w="50" w:type="dxa"/>
          <w:right w:w="50" w:type="dxa"/>
        </w:tblCellMar>
      </w:tblPr>
      <w:tblGrid>
        <w:gridCol w:w="708"/>
        <w:gridCol w:w="917"/>
        <w:gridCol w:w="1062"/>
        <w:gridCol w:w="1888"/>
        <w:gridCol w:w="1699"/>
        <w:gridCol w:w="900"/>
        <w:gridCol w:w="2329"/>
      </w:tblGrid>
      <w:tr>
        <w:trPr/>
        <w:tc>
          <w:tcPr>
            <w:tcW w:w="9503"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ΠΙΝΑΚΑΣ ΠΡΟΣΦΕΡΟΜΕΝΩΝ ΕΙΔΩΝ</w:t>
            </w:r>
          </w:p>
        </w:tc>
      </w:tr>
      <w:tr>
        <w:trPr/>
        <w:tc>
          <w:tcPr>
            <w:tcW w:w="708" w:type="dxa"/>
            <w:tcBorders>
              <w:left w:val="single" w:sz="4" w:space="0" w:color="000000"/>
              <w:bottom w:val="single" w:sz="4" w:space="0" w:color="000000"/>
            </w:tcBorders>
            <w:vAlign w:val="center"/>
          </w:tcPr>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lang w:val="el-GR"/>
              </w:rPr>
              <w:t>α/α</w:t>
            </w:r>
          </w:p>
        </w:tc>
        <w:tc>
          <w:tcPr>
            <w:tcW w:w="917" w:type="dxa"/>
            <w:tcBorders>
              <w:left w:val="single" w:sz="4" w:space="0" w:color="000000"/>
              <w:bottom w:val="single" w:sz="4" w:space="0" w:color="000000"/>
            </w:tcBorders>
            <w:vAlign w:val="center"/>
          </w:tcPr>
          <w:p>
            <w:pPr>
              <w:pStyle w:val="Normal"/>
              <w:widowControl w:val="false"/>
              <w:spacing w:before="0" w:after="12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Όνομα εξέτασης</w:t>
            </w:r>
          </w:p>
        </w:tc>
        <w:tc>
          <w:tcPr>
            <w:tcW w:w="1062" w:type="dxa"/>
            <w:tcBorders>
              <w:left w:val="single" w:sz="4" w:space="0" w:color="000000"/>
              <w:bottom w:val="single" w:sz="4" w:space="0" w:color="000000"/>
            </w:tcBorders>
            <w:vAlign w:val="center"/>
          </w:tcPr>
          <w:p>
            <w:pPr>
              <w:pStyle w:val="Normal"/>
              <w:widowControl w:val="false"/>
              <w:spacing w:before="0" w:after="120"/>
              <w:jc w:val="center"/>
              <w:rPr>
                <w:rFonts w:cs="Calibri"/>
                <w:b w:val="false"/>
                <w:b w:val="false"/>
                <w:i w:val="false"/>
                <w:i w:val="false"/>
                <w:color w:val="000000"/>
                <w:kern w:val="2"/>
                <w:sz w:val="16"/>
                <w:szCs w:val="16"/>
                <w:shd w:fill="auto" w:val="clear"/>
                <w:lang w:val="el-GR"/>
              </w:rPr>
            </w:pPr>
            <w:r>
              <w:rPr>
                <w:rFonts w:cs="Calibri"/>
                <w:b w:val="false"/>
                <w:i w:val="false"/>
                <w:color w:val="000000"/>
                <w:kern w:val="2"/>
                <w:sz w:val="16"/>
                <w:szCs w:val="16"/>
                <w:shd w:fill="auto" w:val="clear"/>
                <w:lang w:val="el-GR"/>
              </w:rPr>
              <w:t>Ζητούμενες Εξετάσεις Ποσότητα</w:t>
            </w:r>
          </w:p>
        </w:tc>
        <w:tc>
          <w:tcPr>
            <w:tcW w:w="1888" w:type="dxa"/>
            <w:tcBorders>
              <w:left w:val="single" w:sz="4" w:space="0" w:color="000000"/>
              <w:bottom w:val="single" w:sz="4" w:space="0" w:color="000000"/>
            </w:tcBorders>
            <w:vAlign w:val="center"/>
          </w:tcPr>
          <w:p>
            <w:pPr>
              <w:pStyle w:val="Normal"/>
              <w:widowControl w:val="false"/>
              <w:spacing w:before="0" w:after="120"/>
              <w:jc w:val="center"/>
              <w:rPr/>
            </w:pPr>
            <w:r>
              <w:rPr>
                <w:rFonts w:cs="Calibri"/>
                <w:b w:val="false"/>
                <w:i w:val="false"/>
                <w:color w:val="000000"/>
                <w:kern w:val="2"/>
                <w:sz w:val="16"/>
                <w:szCs w:val="16"/>
                <w:shd w:fill="auto" w:val="clear"/>
                <w:lang w:val="el-GR"/>
              </w:rPr>
              <w:t>Κωδικός είδους (Αντιδρα</w:t>
            </w:r>
            <w:r>
              <w:rPr>
                <w:rFonts w:cs="Calibri"/>
                <w:b w:val="false"/>
                <w:i w:val="false"/>
                <w:color w:val="000000"/>
                <w:kern w:val="2"/>
                <w:sz w:val="16"/>
                <w:szCs w:val="16"/>
                <w:shd w:fill="auto" w:val="clear"/>
                <w:lang w:val="en-US"/>
              </w:rPr>
              <w:t>στήρι</w:t>
            </w:r>
            <w:r>
              <w:rPr>
                <w:rFonts w:cs="Calibri"/>
                <w:b w:val="false"/>
                <w:i w:val="false"/>
                <w:color w:val="000000"/>
                <w:kern w:val="2"/>
                <w:sz w:val="16"/>
                <w:szCs w:val="16"/>
                <w:shd w:fill="auto" w:val="clear"/>
                <w:lang w:val="el-GR"/>
              </w:rPr>
              <w:t>ο</w:t>
            </w:r>
            <w:r>
              <w:rPr>
                <w:rFonts w:cs="Calibri"/>
                <w:b w:val="false"/>
                <w:i w:val="false"/>
                <w:color w:val="000000"/>
                <w:kern w:val="2"/>
                <w:sz w:val="16"/>
                <w:szCs w:val="16"/>
                <w:shd w:fill="auto" w:val="clear"/>
                <w:lang w:val="en-US"/>
              </w:rPr>
              <w:t xml:space="preserve">, </w:t>
            </w:r>
            <w:r>
              <w:rPr>
                <w:rFonts w:cs="Calibri"/>
                <w:b w:val="false"/>
                <w:i w:val="false"/>
                <w:color w:val="000000"/>
                <w:kern w:val="2"/>
                <w:sz w:val="16"/>
                <w:szCs w:val="16"/>
                <w:shd w:fill="auto" w:val="clear"/>
                <w:lang w:val="el-GR"/>
              </w:rPr>
              <w:t xml:space="preserve"> </w:t>
            </w:r>
            <w:r>
              <w:rPr>
                <w:rFonts w:cs="Calibri"/>
                <w:b w:val="false"/>
                <w:i w:val="false"/>
                <w:color w:val="000000"/>
                <w:kern w:val="2"/>
                <w:sz w:val="16"/>
                <w:szCs w:val="16"/>
                <w:shd w:fill="auto" w:val="clear"/>
                <w:lang w:val="en-GB" w:eastAsia="zh-CN" w:bidi="ar-SA"/>
              </w:rPr>
              <w:t>control, calibrator</w:t>
            </w:r>
            <w:r>
              <w:rPr>
                <w:rFonts w:cs="Calibri"/>
                <w:b w:val="false"/>
                <w:i w:val="false"/>
                <w:color w:val="000000"/>
                <w:kern w:val="2"/>
                <w:sz w:val="16"/>
                <w:szCs w:val="16"/>
                <w:shd w:fill="auto" w:val="clear"/>
                <w:lang w:val="el-GR"/>
              </w:rPr>
              <w:t xml:space="preserve">  ή αναλώσιμο)</w:t>
            </w:r>
          </w:p>
        </w:tc>
        <w:tc>
          <w:tcPr>
            <w:tcW w:w="1699" w:type="dxa"/>
            <w:tcBorders>
              <w:left w:val="single" w:sz="4" w:space="0" w:color="000000"/>
              <w:bottom w:val="single" w:sz="4" w:space="0" w:color="000000"/>
            </w:tcBorders>
            <w:vAlign w:val="center"/>
          </w:tcPr>
          <w:p>
            <w:pPr>
              <w:pStyle w:val="Normal"/>
              <w:widowControl w:val="false"/>
              <w:spacing w:before="0" w:after="120"/>
              <w:jc w:val="center"/>
              <w:rPr/>
            </w:pPr>
            <w:r>
              <w:rPr>
                <w:rFonts w:cs="Calibri"/>
                <w:b w:val="false"/>
                <w:i w:val="false"/>
                <w:color w:val="000000"/>
                <w:kern w:val="2"/>
                <w:sz w:val="16"/>
                <w:szCs w:val="16"/>
                <w:shd w:fill="auto" w:val="clear"/>
                <w:lang w:val="el-GR"/>
              </w:rPr>
              <w:t>Περιγραφή είδους (Αντιδρα</w:t>
            </w:r>
            <w:r>
              <w:rPr>
                <w:rFonts w:cs="Calibri"/>
                <w:b w:val="false"/>
                <w:i w:val="false"/>
                <w:color w:val="000000"/>
                <w:kern w:val="2"/>
                <w:sz w:val="16"/>
                <w:szCs w:val="16"/>
                <w:shd w:fill="auto" w:val="clear"/>
                <w:lang w:val="en-US"/>
              </w:rPr>
              <w:t>στήρι</w:t>
            </w:r>
            <w:r>
              <w:rPr>
                <w:rFonts w:cs="Calibri"/>
                <w:b w:val="false"/>
                <w:i w:val="false"/>
                <w:color w:val="000000"/>
                <w:kern w:val="2"/>
                <w:sz w:val="16"/>
                <w:szCs w:val="16"/>
                <w:shd w:fill="auto" w:val="clear"/>
                <w:lang w:val="el-GR"/>
              </w:rPr>
              <w:t>ο</w:t>
            </w:r>
            <w:r>
              <w:rPr>
                <w:rFonts w:cs="Calibri"/>
                <w:b w:val="false"/>
                <w:i w:val="false"/>
                <w:color w:val="000000"/>
                <w:kern w:val="2"/>
                <w:sz w:val="16"/>
                <w:szCs w:val="16"/>
                <w:shd w:fill="auto" w:val="clear"/>
                <w:lang w:val="en-US"/>
              </w:rPr>
              <w:t xml:space="preserve">, </w:t>
            </w:r>
            <w:r>
              <w:rPr>
                <w:rFonts w:cs="Calibri"/>
                <w:b w:val="false"/>
                <w:i w:val="false"/>
                <w:color w:val="000000"/>
                <w:kern w:val="2"/>
                <w:sz w:val="16"/>
                <w:szCs w:val="16"/>
                <w:shd w:fill="auto" w:val="clear"/>
                <w:lang w:val="el-GR"/>
              </w:rPr>
              <w:t xml:space="preserve"> </w:t>
            </w:r>
            <w:r>
              <w:rPr>
                <w:rFonts w:cs="Calibri"/>
                <w:b w:val="false"/>
                <w:i w:val="false"/>
                <w:color w:val="000000"/>
                <w:kern w:val="2"/>
                <w:sz w:val="16"/>
                <w:szCs w:val="16"/>
                <w:shd w:fill="auto" w:val="clear"/>
                <w:lang w:val="en-GB" w:eastAsia="zh-CN" w:bidi="ar-SA"/>
              </w:rPr>
              <w:t>control, calibrator</w:t>
            </w:r>
            <w:r>
              <w:rPr>
                <w:rFonts w:cs="Calibri"/>
                <w:b w:val="false"/>
                <w:i w:val="false"/>
                <w:color w:val="000000"/>
                <w:kern w:val="2"/>
                <w:sz w:val="16"/>
                <w:szCs w:val="16"/>
                <w:shd w:fill="auto" w:val="clear"/>
                <w:lang w:val="el-GR"/>
              </w:rPr>
              <w:t xml:space="preserve">  ή αναλώσιμο)</w:t>
            </w:r>
          </w:p>
        </w:tc>
        <w:tc>
          <w:tcPr>
            <w:tcW w:w="900" w:type="dxa"/>
            <w:tcBorders>
              <w:left w:val="single" w:sz="4" w:space="0" w:color="000000"/>
              <w:bottom w:val="single" w:sz="4" w:space="0" w:color="000000"/>
            </w:tcBorders>
            <w:vAlign w:val="center"/>
          </w:tcPr>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Εξετάσεις ανά συσκευασία</w:t>
            </w:r>
          </w:p>
        </w:tc>
        <w:tc>
          <w:tcPr>
            <w:tcW w:w="2329" w:type="dxa"/>
            <w:tcBorders>
              <w:left w:val="single" w:sz="4" w:space="0" w:color="000000"/>
              <w:bottom w:val="single" w:sz="4" w:space="0" w:color="000000"/>
              <w:right w:val="single" w:sz="4" w:space="0" w:color="000000"/>
            </w:tcBorders>
            <w:vAlign w:val="center"/>
          </w:tcPr>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Απαιτούμενες συσκευασίες του προσφερόμενου είδους για τις ζητούμενες εξετάσεις (σε ακέραιο αριθμό στρογγυλοποιμένος προς τα πάνω)</w:t>
            </w:r>
          </w:p>
        </w:tc>
      </w:tr>
      <w:tr>
        <w:trPr/>
        <w:tc>
          <w:tcPr>
            <w:tcW w:w="708"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1</w:t>
            </w:r>
          </w:p>
        </w:tc>
        <w:tc>
          <w:tcPr>
            <w:tcW w:w="917"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062"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88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699"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0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2329"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708"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2</w:t>
            </w:r>
          </w:p>
        </w:tc>
        <w:tc>
          <w:tcPr>
            <w:tcW w:w="917"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062"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88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699"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0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2329"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708" w:type="dxa"/>
            <w:tcBorders>
              <w:left w:val="single" w:sz="4" w:space="0" w:color="000000"/>
              <w:bottom w:val="single" w:sz="4" w:space="0" w:color="000000"/>
            </w:tcBorders>
          </w:tcPr>
          <w:p>
            <w:pPr>
              <w:pStyle w:val="Normal"/>
              <w:widowControl w:val="false"/>
              <w:spacing w:before="0" w:after="120"/>
              <w:jc w:val="center"/>
              <w:rPr/>
            </w:pPr>
            <w:r>
              <w:rPr>
                <w:rFonts w:cs="Calibri"/>
                <w:b w:val="false"/>
                <w:i w:val="false"/>
                <w:color w:val="000000"/>
                <w:kern w:val="2"/>
                <w:sz w:val="16"/>
                <w:szCs w:val="16"/>
                <w:lang w:val="el-GR"/>
              </w:rPr>
              <w:t>……</w:t>
            </w:r>
            <w:r>
              <w:rPr>
                <w:rFonts w:cs="Calibri"/>
                <w:b w:val="false"/>
                <w:i w:val="false"/>
                <w:color w:val="000000"/>
                <w:kern w:val="2"/>
                <w:sz w:val="16"/>
                <w:szCs w:val="16"/>
                <w:lang w:val="el-GR"/>
              </w:rPr>
              <w:t>..</w:t>
            </w:r>
          </w:p>
        </w:tc>
        <w:tc>
          <w:tcPr>
            <w:tcW w:w="917"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062"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888"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699"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900"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2329"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lang w:val="el-GR"/>
              </w:rPr>
            </w:pPr>
            <w:r>
              <w:rPr>
                <w:lang w:val="el-GR"/>
              </w:rPr>
            </w:r>
          </w:p>
        </w:tc>
      </w:tr>
    </w:tbl>
    <w:p>
      <w:pPr>
        <w:pStyle w:val="Normal"/>
        <w:tabs>
          <w:tab w:val="clear" w:pos="720"/>
          <w:tab w:val="left" w:pos="426" w:leader="none"/>
        </w:tabs>
        <w:spacing w:lineRule="auto" w:line="240" w:before="0" w:after="0"/>
        <w:ind w:left="284" w:hanging="142"/>
        <w:rPr>
          <w:rFonts w:cs="Calibri" w:cstheme="minorHAnsi"/>
          <w:color w:val="000000"/>
          <w:sz w:val="22"/>
          <w:szCs w:val="22"/>
        </w:rPr>
      </w:pPr>
      <w:r>
        <w:rPr>
          <w:rFonts w:cs="Calibri" w:cstheme="minorHAnsi"/>
          <w:color w:val="000000"/>
          <w:sz w:val="22"/>
          <w:szCs w:val="22"/>
        </w:rPr>
      </w:r>
    </w:p>
    <w:p>
      <w:pPr>
        <w:pStyle w:val="Normal"/>
        <w:spacing w:lineRule="auto" w:line="240" w:before="0" w:after="0"/>
        <w:rPr>
          <w:sz w:val="22"/>
          <w:szCs w:val="22"/>
        </w:rPr>
      </w:pPr>
      <w:r>
        <w:rPr>
          <w:b/>
          <w:bCs/>
          <w:sz w:val="22"/>
          <w:szCs w:val="22"/>
        </w:rPr>
        <w:t>4</w:t>
      </w:r>
      <w:r>
        <w:rPr>
          <w:sz w:val="22"/>
          <w:szCs w:val="22"/>
        </w:rPr>
        <w:t>)</w:t>
      </w:r>
      <w:r>
        <w:rPr>
          <w:sz w:val="22"/>
          <w:szCs w:val="22"/>
          <w:lang w:val="en-GB" w:eastAsia="zh-CN" w:bidi="ar-SA"/>
        </w:rPr>
        <w:t xml:space="preserve">Πρότυπα διασφάλισης ποιότητας και πρότυπα περιβαλλοντικής διαχείρισης  </w:t>
      </w:r>
    </w:p>
    <w:p>
      <w:pPr>
        <w:pStyle w:val="Normal"/>
        <w:spacing w:lineRule="auto" w:line="240" w:before="0" w:after="0"/>
        <w:rPr>
          <w:sz w:val="22"/>
          <w:szCs w:val="22"/>
        </w:rPr>
      </w:pPr>
      <w:r>
        <w:rPr>
          <w:sz w:val="22"/>
          <w:szCs w:val="22"/>
        </w:rPr>
        <w:t xml:space="preserve">Οι οικονομικοί φορείς για την παρούσα διαδικασία σύναψης σύμβασης οφείλουν να </w:t>
      </w:r>
      <w:r>
        <w:rPr>
          <w:sz w:val="22"/>
          <w:szCs w:val="22"/>
          <w:lang w:val="el-GR"/>
        </w:rPr>
        <w:t>προσκομίσουν</w:t>
      </w:r>
      <w:r>
        <w:rPr>
          <w:sz w:val="22"/>
          <w:szCs w:val="22"/>
        </w:rPr>
        <w:t>:</w:t>
      </w:r>
    </w:p>
    <w:p>
      <w:pPr>
        <w:pStyle w:val="Normal"/>
        <w:spacing w:lineRule="auto" w:line="240" w:before="0" w:after="0"/>
        <w:rPr>
          <w:sz w:val="22"/>
          <w:szCs w:val="22"/>
        </w:rPr>
      </w:pPr>
      <w:r>
        <w:rPr>
          <w:b/>
          <w:bCs/>
          <w:sz w:val="22"/>
          <w:szCs w:val="22"/>
          <w:lang w:val="el-GR"/>
        </w:rPr>
        <w:t>α)</w:t>
      </w:r>
      <w:r>
        <w:rPr>
          <w:sz w:val="22"/>
          <w:szCs w:val="22"/>
          <w:lang w:val="el-GR"/>
        </w:rPr>
        <w:t xml:space="preserve"> Σύστημα διασφάλισης ποιότητας </w:t>
      </w:r>
      <w:r>
        <w:rPr>
          <w:b/>
          <w:bCs/>
          <w:sz w:val="22"/>
          <w:szCs w:val="22"/>
          <w:lang w:val="el-GR"/>
        </w:rPr>
        <w:t xml:space="preserve"> ISO 9001/2015</w:t>
      </w:r>
      <w:r>
        <w:rPr>
          <w:sz w:val="22"/>
          <w:szCs w:val="22"/>
          <w:lang w:val="el-GR"/>
        </w:rPr>
        <w:t xml:space="preserve"> ή νεώτερο με πεδίο εφαρμογής την εμπορία και διακίνηση</w:t>
      </w:r>
      <w:r>
        <w:rPr>
          <w:rFonts w:cs="Calibri"/>
          <w:sz w:val="22"/>
          <w:szCs w:val="22"/>
          <w:shd w:fill="auto" w:val="clear"/>
          <w:lang w:val="el-GR"/>
        </w:rPr>
        <w:t xml:space="preserve"> βιοτεχνολογικών προϊόντων και </w:t>
      </w:r>
      <w:r>
        <w:rPr>
          <w:rFonts w:cs="Calibri"/>
          <w:sz w:val="22"/>
          <w:szCs w:val="22"/>
          <w:shd w:fill="auto" w:val="clear"/>
          <w:lang w:val="en-US"/>
        </w:rPr>
        <w:t xml:space="preserve">in nitro </w:t>
      </w:r>
      <w:r>
        <w:rPr>
          <w:rFonts w:cs="Calibri"/>
          <w:sz w:val="22"/>
          <w:szCs w:val="22"/>
          <w:shd w:fill="auto" w:val="clear"/>
          <w:lang w:val="el-GR"/>
        </w:rPr>
        <w:t>Διαγνωστικών προϊόντων.</w:t>
      </w:r>
    </w:p>
    <w:p>
      <w:pPr>
        <w:pStyle w:val="Style19"/>
        <w:spacing w:before="0" w:after="0"/>
        <w:jc w:val="both"/>
        <w:rPr>
          <w:sz w:val="22"/>
          <w:szCs w:val="22"/>
        </w:rPr>
      </w:pPr>
      <w:r>
        <w:rPr>
          <w:rFonts w:cs="Calibri"/>
          <w:b/>
          <w:bCs/>
          <w:sz w:val="22"/>
          <w:szCs w:val="22"/>
          <w:shd w:fill="auto" w:val="clear"/>
          <w:lang w:val="el-GR"/>
        </w:rPr>
        <w:t>β) Σύστημα διασφάλισης ποιότητας ISO 13485/2016</w:t>
      </w:r>
      <w:r>
        <w:rPr>
          <w:rFonts w:cs="Calibri"/>
          <w:sz w:val="22"/>
          <w:szCs w:val="22"/>
          <w:shd w:fill="auto" w:val="clear"/>
          <w:lang w:val="el-GR"/>
        </w:rPr>
        <w:t xml:space="preserve"> ή νεώτερο με πεδίο εφαρμογής την παραγωγή και διάθεση ιατροτεχνολογικών προϊόντων και </w:t>
      </w:r>
      <w:r>
        <w:rPr>
          <w:rFonts w:cs="Calibri"/>
          <w:sz w:val="22"/>
          <w:szCs w:val="22"/>
          <w:shd w:fill="auto" w:val="clear"/>
          <w:lang w:val="en-US"/>
        </w:rPr>
        <w:t xml:space="preserve">in vitro </w:t>
      </w:r>
      <w:r>
        <w:rPr>
          <w:rFonts w:cs="Calibri"/>
          <w:sz w:val="22"/>
          <w:szCs w:val="22"/>
          <w:shd w:fill="auto" w:val="clear"/>
          <w:lang w:val="el-GR"/>
        </w:rPr>
        <w:t xml:space="preserve">Διαγνωστικών προϊόντων. </w:t>
      </w:r>
    </w:p>
    <w:p>
      <w:pPr>
        <w:pStyle w:val="Style19"/>
        <w:spacing w:before="0" w:after="0"/>
        <w:jc w:val="both"/>
        <w:rPr>
          <w:sz w:val="22"/>
          <w:szCs w:val="22"/>
        </w:rPr>
      </w:pPr>
      <w:r>
        <w:rPr>
          <w:rFonts w:cs="Calibri"/>
          <w:b/>
          <w:bCs/>
          <w:sz w:val="22"/>
          <w:szCs w:val="22"/>
          <w:shd w:fill="auto" w:val="clear"/>
          <w:lang w:val="el-GR"/>
        </w:rPr>
        <w:t xml:space="preserve">γ) Σύστημα αρχών και κατευθυντήριων γραμμών ορθής πρακτικής διανομής ιατροτεχνολογικών </w:t>
      </w:r>
      <w:r>
        <w:rPr>
          <w:rFonts w:cs="Calibri"/>
          <w:sz w:val="22"/>
          <w:szCs w:val="22"/>
          <w:shd w:fill="auto" w:val="clear"/>
          <w:lang w:val="el-GR"/>
        </w:rPr>
        <w:t xml:space="preserve">προϊόντων σύμφωνα με την υπουργική απόφαση </w:t>
      </w:r>
      <w:r>
        <w:rPr>
          <w:rFonts w:cs="Calibri"/>
          <w:b/>
          <w:bCs/>
          <w:sz w:val="22"/>
          <w:szCs w:val="22"/>
          <w:shd w:fill="auto" w:val="clear"/>
          <w:lang w:val="el-GR"/>
        </w:rPr>
        <w:t>ΔΥ8δ/Γ.Π.οικ./1348</w:t>
      </w:r>
      <w:r>
        <w:rPr>
          <w:rFonts w:cs="Calibri"/>
          <w:sz w:val="22"/>
          <w:szCs w:val="22"/>
          <w:shd w:fill="auto" w:val="clear"/>
          <w:lang w:val="el-GR"/>
        </w:rPr>
        <w:t xml:space="preserve"> ή κατά περίπτωση ισοδύναμου. Επισημαίνεται ότι η υποχρέωση συμμόρφωσης με το εν λόγω σύστημα δεν αφορά τους οικονομικούς φορείς, που κατασκευάζουν και διανέμουν οι ίδιοι τα παραγόμενα από αυτούς ιατροτεχνολογικά προϊόντα, </w:t>
      </w:r>
    </w:p>
    <w:p>
      <w:pPr>
        <w:pStyle w:val="Style19"/>
        <w:spacing w:before="0" w:after="0"/>
        <w:jc w:val="both"/>
        <w:rPr>
          <w:sz w:val="22"/>
          <w:szCs w:val="22"/>
        </w:rPr>
      </w:pPr>
      <w:r>
        <w:rPr>
          <w:rFonts w:cs="Calibri"/>
          <w:sz w:val="22"/>
          <w:szCs w:val="22"/>
          <w:shd w:fill="auto" w:val="clear"/>
          <w:lang w:val="el-GR"/>
        </w:rPr>
        <w:t xml:space="preserve">Στην περίπτωση ένωσης οικονομικών φορέων όλα τα μέλη της ένωσης απαιτείται να συμμορφώνονται με τα ανωτέρω πρότυπα διασφάλισης ποιότητας. </w:t>
      </w:r>
    </w:p>
    <w:p>
      <w:pPr>
        <w:pStyle w:val="Style19"/>
        <w:tabs>
          <w:tab w:val="clear" w:pos="720"/>
          <w:tab w:val="left" w:pos="426" w:leader="none"/>
        </w:tabs>
        <w:spacing w:lineRule="auto" w:line="240" w:before="0" w:after="0"/>
        <w:ind w:hanging="0"/>
        <w:jc w:val="both"/>
        <w:rPr>
          <w:sz w:val="22"/>
          <w:szCs w:val="22"/>
        </w:rPr>
      </w:pPr>
      <w:r>
        <w:rPr>
          <w:rFonts w:cs="Calibri"/>
          <w:color w:val="000000"/>
          <w:sz w:val="22"/>
          <w:szCs w:val="22"/>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 </w:t>
      </w:r>
    </w:p>
    <w:p>
      <w:pPr>
        <w:pStyle w:val="Style19"/>
        <w:tabs>
          <w:tab w:val="clear" w:pos="720"/>
          <w:tab w:val="left" w:pos="426" w:leader="none"/>
        </w:tabs>
        <w:spacing w:lineRule="auto" w:line="240" w:before="0" w:after="0"/>
        <w:ind w:hanging="0"/>
        <w:jc w:val="both"/>
        <w:rPr>
          <w:sz w:val="22"/>
          <w:szCs w:val="22"/>
        </w:rPr>
      </w:pPr>
      <w:r>
        <w:rPr>
          <w:rFonts w:cs="Calibri"/>
          <w:b/>
          <w:bCs/>
          <w:color w:val="000000"/>
          <w:sz w:val="22"/>
          <w:szCs w:val="22"/>
          <w:shd w:fill="auto" w:val="clear"/>
          <w:lang w:val="el-GR"/>
        </w:rPr>
        <w:t>δ)Π</w:t>
      </w:r>
      <w:r>
        <w:rPr>
          <w:rFonts w:cs="Calibri"/>
          <w:b/>
          <w:bCs/>
          <w:i w:val="false"/>
          <w:iCs w:val="false"/>
          <w:color w:val="000000"/>
          <w:sz w:val="22"/>
          <w:szCs w:val="22"/>
          <w:shd w:fill="auto" w:val="clear"/>
          <w:lang w:val="el-GR"/>
        </w:rPr>
        <w:t xml:space="preserve">ιστοποιητικό CE </w:t>
      </w:r>
      <w:r>
        <w:rPr>
          <w:rFonts w:cs="Calibri"/>
          <w:b w:val="false"/>
          <w:bCs w:val="false"/>
          <w:i w:val="false"/>
          <w:iCs w:val="false"/>
          <w:color w:val="000000"/>
          <w:sz w:val="22"/>
          <w:szCs w:val="22"/>
          <w:shd w:fill="auto" w:val="clear"/>
          <w:lang w:val="el-GR"/>
        </w:rPr>
        <w:t xml:space="preserve">του κατασκευαστή σύμφωνα με την Οδηγία 98/79/ΕΚ (ΔΥ8δ/οικ.3607/892-Εναρμόνιση της Ελληνικής Νομοθεσίας προς την Οδηγία 98/79/ΕΚ του Ευρωπαϊκού Κοινοβουλίου και του Συμβουλίου της 27ης Οκτωβρίου 1998 για τα in vitro διαγνωστικά ιατροτεχνολογικά προϊόντα -ΦΕΚ 1060/Β/10-8-2001), </w:t>
      </w:r>
      <w:r>
        <w:rPr>
          <w:rFonts w:cs="Calibri"/>
          <w:b/>
          <w:bCs/>
          <w:i w:val="false"/>
          <w:iCs w:val="false"/>
          <w:color w:val="000000"/>
          <w:sz w:val="22"/>
          <w:szCs w:val="22"/>
          <w:shd w:fill="auto" w:val="clear"/>
          <w:lang w:val="el-GR"/>
        </w:rPr>
        <w:t>του συνοδού εξοπλισμού, των αντιδραστηρίων, των βαθμονομητών και των αναλωσίμων</w:t>
      </w:r>
      <w:r>
        <w:rPr>
          <w:rFonts w:cs="Calibri"/>
          <w:b w:val="false"/>
          <w:bCs w:val="false"/>
          <w:i w:val="false"/>
          <w:iCs w:val="false"/>
          <w:color w:val="000000"/>
          <w:sz w:val="22"/>
          <w:szCs w:val="22"/>
          <w:shd w:fill="auto" w:val="clear"/>
          <w:lang w:val="el-GR"/>
        </w:rPr>
        <w:t xml:space="preserve">. </w:t>
      </w:r>
    </w:p>
    <w:p>
      <w:pPr>
        <w:pStyle w:val="Normal"/>
        <w:tabs>
          <w:tab w:val="clear" w:pos="720"/>
          <w:tab w:val="left" w:pos="426" w:leader="none"/>
        </w:tabs>
        <w:spacing w:lineRule="auto" w:line="240" w:before="0" w:after="0"/>
        <w:ind w:hanging="0"/>
        <w:rPr>
          <w:rFonts w:cs="Calibri" w:cstheme="minorHAnsi"/>
          <w:color w:val="000000"/>
          <w:sz w:val="22"/>
          <w:szCs w:val="22"/>
        </w:rPr>
      </w:pPr>
      <w:r>
        <w:rPr>
          <w:rFonts w:cs="Calibri" w:cstheme="minorHAnsi"/>
          <w:color w:val="000000"/>
          <w:sz w:val="22"/>
          <w:szCs w:val="22"/>
        </w:rPr>
      </w:r>
    </w:p>
    <w:p>
      <w:pPr>
        <w:pStyle w:val="Style19"/>
        <w:spacing w:lineRule="auto" w:line="240" w:before="0" w:after="12"/>
        <w:jc w:val="both"/>
        <w:rPr>
          <w:sz w:val="22"/>
          <w:szCs w:val="22"/>
        </w:rPr>
      </w:pPr>
      <w:r>
        <w:rPr>
          <w:rFonts w:cs="Calibri"/>
          <w:b/>
          <w:bCs/>
          <w:sz w:val="22"/>
          <w:szCs w:val="22"/>
          <w:shd w:fill="auto" w:val="clear"/>
          <w:lang w:val="el-GR"/>
        </w:rPr>
        <w:t>5</w:t>
      </w:r>
      <w:r>
        <w:rPr>
          <w:rFonts w:cs="Calibri"/>
          <w:b/>
          <w:bCs/>
          <w:sz w:val="22"/>
          <w:szCs w:val="22"/>
          <w:shd w:fill="auto" w:val="clear"/>
        </w:rPr>
        <w:t>)</w:t>
      </w:r>
      <w:r>
        <w:rPr>
          <w:rFonts w:cs="Calibri"/>
          <w:sz w:val="22"/>
          <w:szCs w:val="22"/>
          <w:shd w:fill="auto" w:val="clear"/>
        </w:rPr>
        <w:t xml:space="preserve"> </w:t>
      </w:r>
      <w:r>
        <w:rPr>
          <w:rFonts w:cs="Calibri"/>
          <w:b/>
          <w:bCs/>
          <w:sz w:val="22"/>
          <w:szCs w:val="22"/>
          <w:shd w:fill="auto" w:val="clear"/>
        </w:rPr>
        <w:t>Βεβαίωση του οίκου κατασκευής του μηχανήματος</w:t>
      </w:r>
      <w:r>
        <w:rPr>
          <w:rFonts w:cs="Calibri"/>
          <w:sz w:val="22"/>
          <w:szCs w:val="22"/>
          <w:shd w:fill="auto" w:val="clear"/>
        </w:rPr>
        <w:t xml:space="preserve"> ότι τα προσφερθέντα στο διαγωνισμό αντιδραστήρια και αναλώσιμα (που θα χρησιμοποιούνται από το μηχάνημα) προτείνονται από τον εν λόγω Οίκο για κανονική χρήση, ότι είναι απόλυτα συμβατά με τα ηλεκτρονικά και μηχανικά μέρη του μηχανήματος και ότι δε θα επηρεάσουν την ομαλή και απρόσκοπτη λειτουργία του.</w:t>
      </w:r>
      <w:r>
        <w:rPr>
          <w:rFonts w:cs="Calibri"/>
          <w:sz w:val="22"/>
          <w:szCs w:val="22"/>
          <w:shd w:fill="auto" w:val="clear"/>
          <w:lang w:val="el-GR"/>
        </w:rPr>
        <w:t xml:space="preserve"> Η ηλεκτρονικά υποβαλλόμενη βεβαίωση θα πρέπει να είναι </w:t>
      </w:r>
      <w:r>
        <w:rPr>
          <w:rFonts w:cs="Calibri"/>
          <w:b/>
          <w:bCs/>
          <w:sz w:val="22"/>
          <w:szCs w:val="22"/>
          <w:u w:val="single"/>
          <w:shd w:fill="auto" w:val="clear"/>
          <w:lang w:val="el-GR"/>
        </w:rPr>
        <w:t>ψηφιακά υπογεγραμμένο</w:t>
      </w:r>
      <w:r>
        <w:rPr>
          <w:rFonts w:cs="Calibri"/>
          <w:sz w:val="22"/>
          <w:szCs w:val="22"/>
          <w:shd w:fill="auto" w:val="clear"/>
          <w:lang w:val="el-GR"/>
        </w:rPr>
        <w:t xml:space="preserve"> από τον κατασκευαστικό οίκο. Σε αντίθετη περίπτωση θα πρέπει να συνοδεύεται από Υπεύθυνη Δήλωση του ν. 1599/86, ψηφιακά υπογεγραμμένη από τον προσφέροντα, στην οποία θα δηλώνεται ότι τα προσφερθέντα στο διαγωνισμό αντιδραστήρια και αναλώσιμα (που θα χρησιμοποιούνται από το μηχάνημα) προτείνονται από τον εν λόγω Οίκο για κανονική χρήση, ότι είναι απόλυτα συμβατά με τα ηλεκτρονικά και μηχανικά μέρη του μηχανήματος και ότι δε θα επηρεάσουν την ομαλή και απρόσκοπτη λειτουργία του,</w:t>
      </w:r>
    </w:p>
    <w:p>
      <w:pPr>
        <w:pStyle w:val="Style19"/>
        <w:spacing w:lineRule="auto" w:line="240" w:before="0" w:after="12"/>
        <w:jc w:val="left"/>
        <w:rPr>
          <w:rFonts w:cs="Calibri"/>
          <w:sz w:val="22"/>
          <w:szCs w:val="22"/>
          <w:shd w:fill="auto" w:val="clear"/>
          <w:lang w:val="el-GR"/>
        </w:rPr>
      </w:pPr>
      <w:r>
        <w:rPr>
          <w:rFonts w:cs="Calibri"/>
          <w:sz w:val="22"/>
          <w:szCs w:val="22"/>
          <w:shd w:fill="auto" w:val="clear"/>
          <w:lang w:val="el-GR"/>
        </w:rPr>
      </w:r>
    </w:p>
    <w:p>
      <w:pPr>
        <w:pStyle w:val="Style19"/>
        <w:spacing w:lineRule="auto" w:line="240" w:before="0" w:after="12"/>
        <w:jc w:val="both"/>
        <w:rPr>
          <w:sz w:val="22"/>
          <w:szCs w:val="22"/>
        </w:rPr>
      </w:pPr>
      <w:r>
        <w:rPr>
          <w:rFonts w:cs="Calibri"/>
          <w:b/>
          <w:bCs/>
          <w:sz w:val="22"/>
          <w:szCs w:val="22"/>
          <w:shd w:fill="auto" w:val="clear"/>
          <w:lang w:val="el-GR"/>
        </w:rPr>
        <w:t>6</w:t>
      </w:r>
      <w:r>
        <w:rPr>
          <w:rFonts w:cs="Calibri"/>
          <w:b/>
          <w:bCs/>
          <w:sz w:val="22"/>
          <w:szCs w:val="22"/>
          <w:shd w:fill="auto" w:val="clear"/>
        </w:rPr>
        <w:t>) Βεβαίωση του οίκου κατασκευής του μηχανήματος</w:t>
      </w:r>
      <w:r>
        <w:rPr>
          <w:rFonts w:cs="Calibri"/>
          <w:sz w:val="22"/>
          <w:szCs w:val="22"/>
          <w:shd w:fill="auto" w:val="clear"/>
        </w:rPr>
        <w:t xml:space="preserve"> ότι η προσφερόμενη εταιρεία (προμηθευτής) είναι εξουσιοδοτημένη ως προς την παροχή πλήρους τεχνικής και επιστημονικής υποστήριξης (service, ανταλλακτικά, κ.λ.π.) και ότι στελέχη της έχουν εκπαιδευτεί στα εργοστάσια του οίκου κατασκευής. </w:t>
      </w:r>
      <w:r>
        <w:rPr>
          <w:rFonts w:cs="Calibri"/>
          <w:sz w:val="22"/>
          <w:szCs w:val="22"/>
          <w:shd w:fill="auto" w:val="clear"/>
          <w:lang w:val="el-GR"/>
        </w:rPr>
        <w:t xml:space="preserve">Η ηλεκτρονικά υποβαλλόμενη βεβαίωση θα πρέπει να είναι </w:t>
      </w:r>
      <w:r>
        <w:rPr>
          <w:rFonts w:cs="Calibri"/>
          <w:b/>
          <w:bCs/>
          <w:sz w:val="22"/>
          <w:szCs w:val="22"/>
          <w:u w:val="single"/>
          <w:shd w:fill="auto" w:val="clear"/>
          <w:lang w:val="el-GR"/>
        </w:rPr>
        <w:t>ψηφιακά υπογεγραμμένη</w:t>
      </w:r>
      <w:r>
        <w:rPr>
          <w:rFonts w:cs="Calibri"/>
          <w:sz w:val="22"/>
          <w:szCs w:val="22"/>
          <w:shd w:fill="auto" w:val="clear"/>
          <w:lang w:val="el-GR"/>
        </w:rPr>
        <w:t xml:space="preserve"> από τον κατασκευαστικό οίκο. Σε αντίθετη περίπτωση θα πρέπει να συνοδεύεται από Υπεύθυνη Δήλωση του ν. 1599/86, ψηφιακά υπογεγραμμένη από τον προσφέροντα, στην οποία θα δηλώνεται ότι η προσφερόμενη εταιρεία (προμηθευτής) είναι εξουσιοδοτημένη ως προς την παροχή πλήρους τεχνικής και επιστημονικής υποστήριξης (service, ανταλλακτικά, κ.λ.π.) και ότι στελέχη της έχουν εκπαιδευτεί στα εργοστάσια του οίκου κατασκευής.</w:t>
      </w:r>
    </w:p>
    <w:p>
      <w:pPr>
        <w:pStyle w:val="Style19"/>
        <w:spacing w:lineRule="auto" w:line="240" w:before="0" w:after="12"/>
        <w:jc w:val="left"/>
        <w:rPr>
          <w:rFonts w:cs="Calibri"/>
          <w:sz w:val="22"/>
          <w:szCs w:val="22"/>
          <w:shd w:fill="auto" w:val="clear"/>
          <w:lang w:val="el-GR"/>
        </w:rPr>
      </w:pPr>
      <w:r>
        <w:rPr>
          <w:rFonts w:cs="Calibri"/>
          <w:sz w:val="22"/>
          <w:szCs w:val="22"/>
          <w:shd w:fill="auto" w:val="clear"/>
          <w:lang w:val="el-GR"/>
        </w:rPr>
      </w:r>
    </w:p>
    <w:p>
      <w:pPr>
        <w:pStyle w:val="Style19"/>
        <w:spacing w:lineRule="auto" w:line="240" w:before="0" w:after="12"/>
        <w:jc w:val="both"/>
        <w:rPr>
          <w:sz w:val="22"/>
          <w:szCs w:val="22"/>
        </w:rPr>
      </w:pPr>
      <w:r>
        <w:rPr>
          <w:rFonts w:cs="Calibri"/>
          <w:b/>
          <w:bCs/>
          <w:sz w:val="22"/>
          <w:szCs w:val="22"/>
          <w:shd w:fill="auto" w:val="clear"/>
          <w:lang w:val="el-GR"/>
        </w:rPr>
        <w:t>7</w:t>
      </w:r>
      <w:r>
        <w:rPr>
          <w:rFonts w:cs="Calibri"/>
          <w:sz w:val="22"/>
          <w:szCs w:val="22"/>
          <w:shd w:fill="auto" w:val="clear"/>
        </w:rPr>
        <w:t xml:space="preserve">) </w:t>
      </w:r>
      <w:r>
        <w:rPr>
          <w:rFonts w:cs="Calibri"/>
          <w:b/>
          <w:bCs/>
          <w:sz w:val="22"/>
          <w:szCs w:val="22"/>
          <w:shd w:fill="auto" w:val="clear"/>
        </w:rPr>
        <w:t xml:space="preserve">Βεβαίωση του οίκου κατασκευής του μηχανήματος </w:t>
      </w:r>
      <w:r>
        <w:rPr>
          <w:rFonts w:cs="Calibri"/>
          <w:b w:val="false"/>
          <w:bCs w:val="false"/>
          <w:sz w:val="22"/>
          <w:szCs w:val="22"/>
          <w:shd w:fill="auto" w:val="clear"/>
          <w:lang w:val="el-GR"/>
        </w:rPr>
        <w:t xml:space="preserve">από την οποία θα προκύπτει το έτος κατασκευής του μηχανήματος. Η υποβαλλόμενη βεβαίωση θα πρέπει να είναι </w:t>
      </w:r>
      <w:r>
        <w:rPr>
          <w:rFonts w:cs="Calibri"/>
          <w:b/>
          <w:bCs/>
          <w:sz w:val="22"/>
          <w:szCs w:val="22"/>
          <w:u w:val="single"/>
          <w:shd w:fill="auto" w:val="clear"/>
          <w:lang w:val="el-GR"/>
        </w:rPr>
        <w:t>ψηφιακά υπογεγραμμένη</w:t>
      </w:r>
      <w:r>
        <w:rPr>
          <w:rFonts w:cs="Calibri"/>
          <w:b w:val="false"/>
          <w:bCs w:val="false"/>
          <w:sz w:val="22"/>
          <w:szCs w:val="22"/>
          <w:shd w:fill="auto" w:val="clear"/>
          <w:lang w:val="el-GR"/>
        </w:rPr>
        <w:t xml:space="preserve"> από τον κατασκευαστικό οίκο. Σε αντίθετη περίπτωση θα πρέπει να συνοδεύεται από Υπεύθυνη Δήλωση του ν. 1599/86, ψηφιακά υπογεγραμμένη από τον προσφέροντα, στην οποία θα δηλώνεται το έτος κατασκευής του μηχανήματος.</w:t>
      </w:r>
    </w:p>
    <w:p>
      <w:pPr>
        <w:pStyle w:val="Style19"/>
        <w:spacing w:lineRule="auto" w:line="240" w:before="0" w:after="12"/>
        <w:jc w:val="left"/>
        <w:rPr>
          <w:rFonts w:cs="Calibri"/>
          <w:b w:val="false"/>
          <w:b w:val="false"/>
          <w:bCs w:val="false"/>
          <w:sz w:val="22"/>
          <w:szCs w:val="22"/>
          <w:shd w:fill="auto" w:val="clear"/>
          <w:lang w:val="el-GR"/>
        </w:rPr>
      </w:pPr>
      <w:r>
        <w:rPr>
          <w:rFonts w:cs="Calibri"/>
          <w:b w:val="false"/>
          <w:bCs w:val="false"/>
          <w:sz w:val="22"/>
          <w:szCs w:val="22"/>
          <w:shd w:fill="auto" w:val="clear"/>
          <w:lang w:val="el-GR"/>
        </w:rPr>
      </w:r>
    </w:p>
    <w:p>
      <w:pPr>
        <w:pStyle w:val="Normalwithoutspacing"/>
        <w:spacing w:lineRule="auto" w:line="240" w:before="0" w:after="0"/>
        <w:jc w:val="both"/>
        <w:rPr>
          <w:sz w:val="22"/>
          <w:szCs w:val="22"/>
        </w:rPr>
      </w:pPr>
      <w:r>
        <w:rPr>
          <w:rFonts w:cs="Times New Roman"/>
          <w:b/>
          <w:bCs/>
          <w:sz w:val="22"/>
          <w:szCs w:val="22"/>
          <w:shd w:fill="auto" w:val="clear"/>
          <w:lang w:val="el-GR"/>
        </w:rPr>
        <w:t>8</w:t>
      </w:r>
      <w:r>
        <w:rPr>
          <w:rFonts w:cs="Times New Roman"/>
          <w:b/>
          <w:bCs/>
          <w:sz w:val="22"/>
          <w:szCs w:val="22"/>
          <w:shd w:fill="auto" w:val="clear"/>
          <w:lang w:val="en-US"/>
        </w:rPr>
        <w:t xml:space="preserve">) </w:t>
      </w:r>
      <w:r>
        <w:rPr>
          <w:rFonts w:cs="Times New Roman"/>
          <w:b/>
          <w:bCs/>
          <w:sz w:val="22"/>
          <w:szCs w:val="22"/>
          <w:shd w:fill="auto" w:val="clear"/>
          <w:lang w:val="el-GR"/>
        </w:rPr>
        <w:t>Β</w:t>
      </w:r>
      <w:r>
        <w:rPr>
          <w:rFonts w:eastAsia="Times New Roman" w:cs="Calibri"/>
          <w:b/>
          <w:bCs/>
          <w:color w:val="000000"/>
          <w:sz w:val="22"/>
          <w:szCs w:val="22"/>
          <w:shd w:fill="auto" w:val="clear"/>
          <w:lang w:val="en-GB" w:eastAsia="zh-CN" w:bidi="ar-SA"/>
        </w:rPr>
        <w:t>εβαίωση Αρμόδιας Αρχής</w:t>
      </w:r>
      <w:r>
        <w:rPr>
          <w:rFonts w:cs="Times New Roman"/>
          <w:b/>
          <w:bCs/>
          <w:sz w:val="22"/>
          <w:szCs w:val="22"/>
          <w:shd w:fill="auto" w:val="clear"/>
          <w:lang w:val="el-GR"/>
        </w:rPr>
        <w:t xml:space="preserve"> </w:t>
      </w:r>
      <w:r>
        <w:rPr>
          <w:rFonts w:cs="Times New Roman"/>
          <w:b w:val="false"/>
          <w:bCs w:val="false"/>
          <w:sz w:val="22"/>
          <w:szCs w:val="22"/>
          <w:shd w:fill="auto" w:val="clear"/>
          <w:lang w:val="el-GR"/>
        </w:rPr>
        <w:t>της Χώρας που έχει έδρα το εργοστάσιο παραγωγής αντιδραστηρίων, η οποία θα βεβαιώνει ότι το εργοστάσιο διαθέτει άδεια δυνατότητας παραγωγής in vitro αντιδραστηρίων.</w:t>
      </w:r>
    </w:p>
    <w:p>
      <w:pPr>
        <w:pStyle w:val="Normal"/>
        <w:spacing w:lineRule="auto" w:line="240" w:before="0" w:after="12"/>
        <w:jc w:val="left"/>
        <w:rPr>
          <w:rFonts w:eastAsia="Times New Roman" w:cs="Calibri"/>
          <w:color w:val="000000"/>
          <w:sz w:val="22"/>
          <w:szCs w:val="22"/>
          <w:shd w:fill="auto" w:val="clear"/>
          <w:lang w:val="el-GR" w:eastAsia="zh-CN" w:bidi="ar-SA"/>
        </w:rPr>
      </w:pPr>
      <w:r>
        <w:rPr>
          <w:rFonts w:eastAsia="Times New Roman" w:cs="Calibri"/>
          <w:color w:val="000000"/>
          <w:sz w:val="22"/>
          <w:szCs w:val="22"/>
          <w:shd w:fill="auto" w:val="clear"/>
          <w:lang w:val="el-GR" w:eastAsia="zh-CN" w:bidi="ar-SA"/>
        </w:rPr>
      </w:r>
    </w:p>
    <w:p>
      <w:pPr>
        <w:pStyle w:val="Style19"/>
        <w:spacing w:lineRule="auto" w:line="240" w:before="0" w:after="12"/>
        <w:jc w:val="left"/>
        <w:rPr>
          <w:sz w:val="22"/>
          <w:szCs w:val="22"/>
        </w:rPr>
      </w:pPr>
      <w:r>
        <w:rPr>
          <w:rFonts w:cs="Calibri"/>
          <w:b/>
          <w:bCs/>
          <w:sz w:val="22"/>
          <w:szCs w:val="22"/>
          <w:shd w:fill="auto" w:val="clear"/>
          <w:lang w:val="el-GR"/>
        </w:rPr>
        <w:t>9</w:t>
      </w:r>
      <w:r>
        <w:rPr>
          <w:rFonts w:cs="Calibri"/>
          <w:b/>
          <w:bCs/>
          <w:sz w:val="22"/>
          <w:szCs w:val="22"/>
          <w:shd w:fill="auto" w:val="clear"/>
        </w:rPr>
        <w:t xml:space="preserve">) Υπεύθυνη Δήλωση του </w:t>
      </w:r>
      <w:r>
        <w:rPr>
          <w:rFonts w:cs="Calibri"/>
          <w:b/>
          <w:bCs/>
          <w:sz w:val="22"/>
          <w:szCs w:val="22"/>
          <w:shd w:fill="auto" w:val="clear"/>
          <w:lang w:val="el-GR"/>
        </w:rPr>
        <w:t>ν</w:t>
      </w:r>
      <w:r>
        <w:rPr>
          <w:rFonts w:cs="Calibri"/>
          <w:b/>
          <w:bCs/>
          <w:sz w:val="22"/>
          <w:szCs w:val="22"/>
          <w:shd w:fill="auto" w:val="clear"/>
        </w:rPr>
        <w:t>. 1599/86</w:t>
      </w:r>
      <w:r>
        <w:rPr>
          <w:rFonts w:cs="Calibri"/>
          <w:sz w:val="22"/>
          <w:szCs w:val="22"/>
          <w:shd w:fill="auto" w:val="clear"/>
        </w:rPr>
        <w:t xml:space="preserve">, </w:t>
      </w:r>
      <w:r>
        <w:rPr>
          <w:rFonts w:cs="Calibri"/>
          <w:b/>
          <w:bCs/>
          <w:sz w:val="22"/>
          <w:szCs w:val="22"/>
          <w:shd w:fill="auto" w:val="clear"/>
        </w:rPr>
        <w:t>στην οποία να δηλώνονται :</w:t>
      </w:r>
    </w:p>
    <w:p>
      <w:pPr>
        <w:pStyle w:val="Normal"/>
        <w:widowControl/>
        <w:numPr>
          <w:ilvl w:val="0"/>
          <w:numId w:val="9"/>
        </w:numPr>
        <w:suppressAutoHyphens w:val="true"/>
        <w:bidi w:val="0"/>
        <w:spacing w:lineRule="auto" w:line="276" w:before="0" w:after="200"/>
        <w:ind w:left="340" w:right="0" w:hanging="340"/>
        <w:jc w:val="both"/>
        <w:rPr>
          <w:sz w:val="22"/>
          <w:szCs w:val="22"/>
        </w:rPr>
      </w:pPr>
      <w:r>
        <w:rPr>
          <w:rFonts w:cs="Calibri"/>
          <w:sz w:val="22"/>
          <w:szCs w:val="22"/>
          <w:shd w:fill="auto" w:val="clear"/>
          <w:lang w:val="el-GR"/>
        </w:rPr>
        <w:t>Ότι η</w:t>
      </w:r>
      <w:r>
        <w:rPr>
          <w:rFonts w:eastAsia="Calibri" w:cs="Calibri"/>
          <w:sz w:val="22"/>
          <w:szCs w:val="22"/>
          <w:shd w:fill="auto" w:val="clear"/>
          <w:lang w:val="el-GR"/>
        </w:rPr>
        <w:t xml:space="preserve"> κατασκευή του τελικού προϊόντος θα γίνει από την επιχείρηση στην οποία ανήκει ή η οποία εκμεταλλεύεται </w:t>
      </w:r>
      <w:r>
        <w:rPr>
          <w:sz w:val="22"/>
          <w:szCs w:val="22"/>
          <w:lang w:val="el-GR"/>
        </w:rPr>
        <w:t>ολικά ή μερικά</w:t>
      </w:r>
      <w:r>
        <w:rPr>
          <w:rFonts w:eastAsia="Calibri" w:cs="Calibri"/>
          <w:sz w:val="22"/>
          <w:szCs w:val="22"/>
          <w:shd w:fill="auto" w:val="clear"/>
          <w:lang w:val="el-GR"/>
        </w:rPr>
        <w:t xml:space="preserve"> τη μονάδα κατασκευής του τελικού προϊόντος καθώς και ότι ο νόμιμος εκπρόσωπος της επιχείρησης αυτής έχει αποδεχθεί έναντι τους την εκτέλεση της συγκεκριμένης προμήθειας, σε περίπτωση κατακύρωσης στον προμηθευτή υπέρ του οποίου έγινε η αποδοχή.</w:t>
      </w:r>
    </w:p>
    <w:p>
      <w:pPr>
        <w:pStyle w:val="Normal"/>
        <w:widowControl/>
        <w:numPr>
          <w:ilvl w:val="0"/>
          <w:numId w:val="9"/>
        </w:numPr>
        <w:suppressAutoHyphens w:val="true"/>
        <w:bidi w:val="0"/>
        <w:spacing w:lineRule="auto" w:line="276" w:before="0" w:after="200"/>
        <w:ind w:left="340" w:right="0" w:hanging="340"/>
        <w:jc w:val="left"/>
        <w:rPr>
          <w:sz w:val="22"/>
          <w:szCs w:val="22"/>
        </w:rPr>
      </w:pPr>
      <w:r>
        <w:rPr>
          <w:rFonts w:cs="Calibri"/>
          <w:color w:val="000000"/>
          <w:sz w:val="22"/>
          <w:szCs w:val="22"/>
          <w:shd w:fill="auto" w:val="clear"/>
          <w:lang w:val="el-GR"/>
        </w:rPr>
        <w:t xml:space="preserve">ότι διαθέτει μόνιμα οργανωμένο τμήμα τεχνικής υποστήριξης και </w:t>
      </w:r>
      <w:r>
        <w:rPr>
          <w:rFonts w:cs="Calibri"/>
          <w:color w:val="000000"/>
          <w:sz w:val="22"/>
          <w:szCs w:val="22"/>
          <w:shd w:fill="auto" w:val="clear"/>
        </w:rPr>
        <w:t>service</w:t>
      </w:r>
      <w:r>
        <w:rPr>
          <w:rFonts w:cs="Calibri"/>
          <w:color w:val="000000"/>
          <w:sz w:val="22"/>
          <w:szCs w:val="22"/>
          <w:shd w:fill="auto" w:val="clear"/>
          <w:lang w:val="el-GR"/>
        </w:rPr>
        <w:t>, καθώς και κατάλληλα εκπαιδευμένο προσωπικό, με πιστοποιητικό εκπαίδευσης από τον μητρικό κατασκευαστικό οίκο για την συντήρηση των αντίστοιχων μηχανημάτων. Οι επιχειρήσεις που δε διαθέτουν τεχνικό τμήμα στην Κεντρική Μακεδονία, οφείλουν να εκθέτουν στην προσφορά τους τον τρόπο με τον οποίο μπορούν να ανταποκριθούν άμεσα στις εκάστοτε ανακύπτουσες ανάγκες. Σε περίπτωση που η τεχνική κάλυψη του μηχανήματος δεν γίνεται από τον Προμηθευτή αλλά από άλλο συνεργείο πέραν του διαγωνιζόμενου, θα πρέπει να κατατεθούν επίσημα έγγραφα ανάληψης της ευθύνης της τεχνικής κάλυψης των μηχανημάτων από αυτόν.</w:t>
      </w:r>
    </w:p>
    <w:p>
      <w:pPr>
        <w:pStyle w:val="Normal"/>
        <w:widowControl/>
        <w:numPr>
          <w:ilvl w:val="0"/>
          <w:numId w:val="9"/>
        </w:numPr>
        <w:suppressAutoHyphens w:val="true"/>
        <w:bidi w:val="0"/>
        <w:spacing w:lineRule="auto" w:line="276" w:before="0" w:after="200"/>
        <w:ind w:left="340" w:right="0" w:hanging="340"/>
        <w:jc w:val="left"/>
        <w:rPr>
          <w:sz w:val="22"/>
          <w:szCs w:val="22"/>
        </w:rPr>
      </w:pPr>
      <w:r>
        <w:rPr>
          <w:sz w:val="22"/>
          <w:szCs w:val="22"/>
        </w:rPr>
        <w:t xml:space="preserve">ότι σε περίπτωση που ο μειοδότης του παρόντος διαγωνισμού δεν είναι μειοδότης και για τον επόμενο διαγωνισμό υποχρεούται στην απόσυρση των αναλυτών την ημερομηνία που θα ορισθεί από το αρμόδιο όργανο του Νοσοκομείου. </w:t>
      </w:r>
    </w:p>
    <w:p>
      <w:pPr>
        <w:pStyle w:val="Normal"/>
        <w:widowControl/>
        <w:numPr>
          <w:ilvl w:val="0"/>
          <w:numId w:val="9"/>
        </w:numPr>
        <w:suppressAutoHyphens w:val="true"/>
        <w:bidi w:val="0"/>
        <w:spacing w:lineRule="auto" w:line="276" w:before="0" w:after="200"/>
        <w:ind w:left="340" w:right="0" w:hanging="340"/>
        <w:jc w:val="left"/>
        <w:rPr>
          <w:sz w:val="22"/>
          <w:szCs w:val="22"/>
        </w:rPr>
      </w:pPr>
      <w:r>
        <w:rPr>
          <w:sz w:val="22"/>
          <w:szCs w:val="22"/>
        </w:rPr>
        <w:t xml:space="preserve">Αναλώσιμα αντιδραστήρια και λοιπά υλικά που δεν περιλαμβάνονται στους αναλυτικούς πίνακες κόστους εξετάσεων της προσφοράς τους, και τυχόν απαιτηθούν κατά τη διάρκεια της σύμβασης για τη λειτουργία του αναλυτικού συστήματος θα παραδίδονται στο Νοσοκομείο δωρεάν, εκτός εάν ο πραγματικός αριθμός των εξετάσεων υπερβεί τον αριθμό εξετάσεων που δηλώνονται ότι θα πραγματοποιηθούν κατά έτος. </w:t>
      </w:r>
    </w:p>
    <w:p>
      <w:pPr>
        <w:pStyle w:val="Style19"/>
        <w:widowControl/>
        <w:numPr>
          <w:ilvl w:val="0"/>
          <w:numId w:val="9"/>
        </w:numPr>
        <w:suppressAutoHyphens w:val="true"/>
        <w:bidi w:val="0"/>
        <w:spacing w:lineRule="auto" w:line="240" w:before="0" w:after="12"/>
        <w:ind w:left="397" w:right="0" w:hanging="340"/>
        <w:jc w:val="both"/>
        <w:rPr>
          <w:sz w:val="22"/>
          <w:szCs w:val="22"/>
        </w:rPr>
      </w:pPr>
      <w:r>
        <w:rPr>
          <w:rFonts w:cs="Calibri"/>
          <w:sz w:val="22"/>
          <w:szCs w:val="22"/>
          <w:shd w:fill="auto" w:val="clear"/>
        </w:rPr>
        <w:t xml:space="preserve">Ποσότητες </w:t>
      </w:r>
      <w:r>
        <w:rPr>
          <w:rFonts w:cs="Calibri"/>
          <w:sz w:val="22"/>
          <w:szCs w:val="22"/>
          <w:shd w:fill="auto" w:val="clear"/>
          <w:lang w:val="el-GR"/>
        </w:rPr>
        <w:t>αναλώσιμων</w:t>
      </w:r>
      <w:r>
        <w:rPr>
          <w:rFonts w:cs="Calibri"/>
          <w:sz w:val="22"/>
          <w:szCs w:val="22"/>
          <w:shd w:fill="auto" w:val="clear"/>
        </w:rPr>
        <w:t xml:space="preserve"> και λοιπών υλικών που θα υπερβαίνουν τις ποσότητες που δηλώνονται στον πίνακα της προσφοράς τους για τον αριθμό εξετάσεων που δηλώνονται θα παραδίδονται στο Νοσοκομείο δωρεάν.</w:t>
      </w:r>
    </w:p>
    <w:p>
      <w:pPr>
        <w:pStyle w:val="Style19"/>
        <w:numPr>
          <w:ilvl w:val="0"/>
          <w:numId w:val="0"/>
        </w:numPr>
        <w:spacing w:lineRule="auto" w:line="240" w:before="0" w:after="12"/>
        <w:ind w:left="720" w:hanging="0"/>
        <w:jc w:val="left"/>
        <w:rPr>
          <w:rFonts w:ascii="Calibri" w:hAnsi="Calibri"/>
          <w:sz w:val="22"/>
          <w:szCs w:val="22"/>
        </w:rPr>
      </w:pPr>
      <w:r>
        <w:rPr>
          <w:sz w:val="22"/>
          <w:szCs w:val="22"/>
        </w:rPr>
      </w:r>
    </w:p>
    <w:p>
      <w:pPr>
        <w:pStyle w:val="Style19"/>
        <w:numPr>
          <w:ilvl w:val="0"/>
          <w:numId w:val="0"/>
        </w:numPr>
        <w:spacing w:lineRule="auto" w:line="240" w:before="0" w:after="12"/>
        <w:ind w:left="720" w:hanging="0"/>
        <w:jc w:val="left"/>
        <w:rPr>
          <w:sz w:val="22"/>
          <w:szCs w:val="22"/>
        </w:rPr>
      </w:pPr>
      <w:r>
        <w:rPr>
          <w:rFonts w:cs="Calibri"/>
          <w:b/>
          <w:bCs/>
          <w:sz w:val="22"/>
          <w:szCs w:val="22"/>
          <w:u w:val="single"/>
          <w:shd w:fill="auto" w:val="clear"/>
        </w:rPr>
        <w:t xml:space="preserve">Η </w:t>
      </w:r>
      <w:r>
        <w:rPr>
          <w:rFonts w:cs="Calibri"/>
          <w:b/>
          <w:bCs/>
          <w:sz w:val="22"/>
          <w:szCs w:val="22"/>
          <w:u w:val="single"/>
          <w:shd w:fill="auto" w:val="clear"/>
          <w:lang w:val="el-GR"/>
        </w:rPr>
        <w:t>υπεύθυνες δηλώσεις</w:t>
      </w:r>
      <w:r>
        <w:rPr>
          <w:rFonts w:cs="Calibri"/>
          <w:b/>
          <w:bCs/>
          <w:sz w:val="22"/>
          <w:szCs w:val="22"/>
          <w:u w:val="single"/>
          <w:shd w:fill="auto" w:val="clear"/>
        </w:rPr>
        <w:t xml:space="preserve"> φέρ</w:t>
      </w:r>
      <w:r>
        <w:rPr>
          <w:rFonts w:cs="Calibri"/>
          <w:b/>
          <w:bCs/>
          <w:sz w:val="22"/>
          <w:szCs w:val="22"/>
          <w:u w:val="single"/>
          <w:shd w:fill="auto" w:val="clear"/>
          <w:lang w:val="el-GR"/>
        </w:rPr>
        <w:t>ουν</w:t>
      </w:r>
      <w:r>
        <w:rPr>
          <w:rFonts w:cs="Calibri"/>
          <w:b/>
          <w:bCs/>
          <w:sz w:val="22"/>
          <w:szCs w:val="22"/>
          <w:u w:val="single"/>
          <w:shd w:fill="auto" w:val="clear"/>
        </w:rPr>
        <w:t xml:space="preserve"> ημερομηνία εντός των τελευταία τριάντα (30) ημερολογιακών ημερών, υπογράφεται ψηφιακά από το νόμιμο εκπρόσωπο και δεν απαιτεί θεώρηση του γνησίου της υπογραφής.</w:t>
      </w:r>
    </w:p>
    <w:p>
      <w:pPr>
        <w:pStyle w:val="Style19"/>
        <w:numPr>
          <w:ilvl w:val="0"/>
          <w:numId w:val="0"/>
        </w:numPr>
        <w:spacing w:lineRule="auto" w:line="240" w:before="0" w:after="12"/>
        <w:ind w:left="720" w:hanging="0"/>
        <w:rPr>
          <w:sz w:val="22"/>
          <w:szCs w:val="22"/>
        </w:rPr>
      </w:pPr>
      <w:r>
        <w:rPr>
          <w:rFonts w:cs="Calibri"/>
          <w:b/>
          <w:bCs/>
          <w:sz w:val="22"/>
          <w:szCs w:val="22"/>
          <w:u w:val="single"/>
          <w:shd w:fill="auto" w:val="clear"/>
          <w:lang w:val="el-GR"/>
        </w:rPr>
        <w:t>Για την διευκόλυνση της τεχνικής αξιολόγησης, οι προσφέροντες επισημαίνουν τα υποβαλλόμενα δικαιολογητικά και έγγραφα με τον αύξοντα αριθμό που τους δίνεται ανωτέρω στη παρούσα διακήρυξη.</w:t>
      </w:r>
    </w:p>
    <w:p>
      <w:pPr>
        <w:pStyle w:val="Normal"/>
        <w:tabs>
          <w:tab w:val="clear" w:pos="720"/>
          <w:tab w:val="left" w:pos="426" w:leader="none"/>
        </w:tabs>
        <w:spacing w:lineRule="auto" w:line="240" w:before="0" w:after="0"/>
        <w:ind w:left="284" w:hanging="142"/>
        <w:rPr>
          <w:rFonts w:cs="Calibri" w:cstheme="minorHAnsi"/>
          <w:color w:val="000000"/>
          <w:sz w:val="22"/>
          <w:szCs w:val="22"/>
        </w:rPr>
      </w:pPr>
      <w:r>
        <w:rPr>
          <w:rFonts w:cs="Calibri" w:cstheme="minorHAnsi"/>
          <w:color w:val="000000"/>
          <w:sz w:val="22"/>
          <w:szCs w:val="22"/>
        </w:rPr>
      </w:r>
    </w:p>
    <w:p>
      <w:pPr>
        <w:pStyle w:val="Normal"/>
        <w:tabs>
          <w:tab w:val="clear" w:pos="720"/>
          <w:tab w:val="left" w:pos="426" w:leader="none"/>
        </w:tabs>
        <w:spacing w:lineRule="auto" w:line="240" w:before="0" w:after="0"/>
        <w:ind w:hanging="0"/>
        <w:rPr/>
      </w:pPr>
      <w:r>
        <w:rPr>
          <w:rStyle w:val="WWFootnoteReference9"/>
          <w:rFonts w:cs="Calibri" w:cstheme="minorHAnsi"/>
          <w:b/>
          <w:bCs/>
          <w:color w:val="000000"/>
          <w:position w:val="0"/>
          <w:sz w:val="22"/>
          <w:sz w:val="22"/>
          <w:szCs w:val="22"/>
          <w:shd w:fill="auto" w:val="clear"/>
          <w:vertAlign w:val="baseline"/>
          <w:lang w:val="el-GR"/>
        </w:rPr>
        <w:t xml:space="preserve">10) Υπεύθυνη δήλωση </w:t>
      </w:r>
      <w:r>
        <w:rPr>
          <w:rStyle w:val="WWFootnoteReference9"/>
          <w:rFonts w:cs="Calibri" w:cstheme="minorHAnsi"/>
          <w:color w:val="000000"/>
          <w:position w:val="0"/>
          <w:sz w:val="22"/>
          <w:sz w:val="22"/>
          <w:szCs w:val="22"/>
          <w:shd w:fill="auto" w:val="clear"/>
          <w:vertAlign w:val="baseline"/>
          <w:lang w:val="el-GR"/>
        </w:rPr>
        <w:t>της παρ. 4 του άρθρου 8 του ν. 1599/1986, όπως εκάστοτε ισχύει, στην οποία θα δηλώνεται υπεύθυνα ότι:</w:t>
      </w:r>
    </w:p>
    <w:p>
      <w:pPr>
        <w:pStyle w:val="Default"/>
        <w:tabs>
          <w:tab w:val="clear" w:pos="720"/>
          <w:tab w:val="left" w:pos="1134" w:leader="none"/>
        </w:tabs>
        <w:spacing w:before="240" w:after="27"/>
        <w:jc w:val="both"/>
        <w:rPr>
          <w:sz w:val="22"/>
          <w:szCs w:val="22"/>
        </w:rPr>
      </w:pPr>
      <w:r>
        <w:rPr>
          <w:rFonts w:cs="Calibri" w:cstheme="minorHAnsi"/>
          <w:b/>
          <w:bCs/>
          <w:sz w:val="22"/>
          <w:szCs w:val="22"/>
          <w:shd w:fill="auto" w:val="clear"/>
        </w:rPr>
        <w:t>Ως νόμιμος εκπρόσωπος/ διαχειριστής της εταιρείας με την επωνυμία «</w:t>
      </w:r>
      <w:r>
        <w:rPr>
          <w:rFonts w:cs="Calibri" w:cstheme="minorHAnsi"/>
          <w:b/>
          <w:bCs/>
          <w:i/>
          <w:iCs/>
          <w:sz w:val="22"/>
          <w:szCs w:val="22"/>
          <w:shd w:fill="auto" w:val="clear"/>
        </w:rPr>
        <w:t>…………………………</w:t>
      </w:r>
      <w:r>
        <w:rPr>
          <w:rFonts w:cs="Calibri" w:cstheme="minorHAnsi"/>
          <w:b/>
          <w:bCs/>
          <w:sz w:val="22"/>
          <w:szCs w:val="22"/>
          <w:shd w:fill="auto" w:val="clear"/>
        </w:rPr>
        <w:t xml:space="preserve">» και τον διακριτικό τίτλο «…………………….» που εδρεύει στην ……………………….…., στην οδό ………………., Τ.Κ. ………….. με Α.Φ.Μ.: ……………………., Δ.Ο.Υ.: ………………………. δηλώνω υπεύθυνα ότι:    </w:t>
      </w:r>
    </w:p>
    <w:p>
      <w:pPr>
        <w:pStyle w:val="Normal"/>
        <w:rPr>
          <w:sz w:val="22"/>
          <w:szCs w:val="22"/>
        </w:rPr>
      </w:pPr>
      <w:r>
        <w:rPr>
          <w:rFonts w:cs="Calibri" w:cstheme="minorHAnsi"/>
          <w:b/>
          <w:bCs/>
          <w:sz w:val="22"/>
          <w:szCs w:val="22"/>
          <w:shd w:fill="auto" w:val="clear"/>
        </w:rPr>
        <w:t xml:space="preserve"> </w:t>
      </w:r>
      <w:r>
        <w:rPr/>
        <w:t xml:space="preserve">   • </w:t>
      </w:r>
      <w:r>
        <w:rPr/>
        <w:t>ότι εγγυάται την καλή λειτουργία του συστήματος ή μηχανήματος για το χρονικό διάστημα της σύμβασης,</w:t>
      </w:r>
    </w:p>
    <w:p>
      <w:pPr>
        <w:pStyle w:val="Normal"/>
        <w:rPr/>
      </w:pPr>
      <w:r>
        <w:rPr/>
        <w:t xml:space="preserve">    • </w:t>
      </w:r>
      <w:r>
        <w:rPr/>
        <w:t>ότι αναλαμβάνει την υποχρέωση να διαθέτει ειδικό τεχνικό ο οποίος θα επιδείξει στο προσωπικό της Υπηρεσίας τον τρόπο λειτουργίας και χειρισμού του μηχανήματος, καθώς και τα προστατευτικά μέτρα ασφαλείας προσωπικού και υλικού, χωρίς επιβάρυνση της Υπηρεσίας,</w:t>
      </w:r>
    </w:p>
    <w:p>
      <w:pPr>
        <w:pStyle w:val="Normal"/>
        <w:rPr/>
      </w:pPr>
      <w:r>
        <w:rPr/>
        <w:t xml:space="preserve">    • </w:t>
      </w:r>
      <w:r>
        <w:rPr/>
        <w:t>ότι μπορεί να λάβει όλα τα αναγκαία μέτρα απόσυρσης του προϊόντος από την αγορά, σε περίπτωση που η χρήση του θέτει σε κίνδυνο την υγεία ή και την ασφάλεια των ασθενών, των χρηστών, ή ενδεχομένως άλλων προσώπων, καθώς και την ασφάλεια πραγμάτων,</w:t>
      </w:r>
    </w:p>
    <w:p>
      <w:pPr>
        <w:pStyle w:val="Normal"/>
        <w:rPr/>
      </w:pPr>
      <w:r>
        <w:rPr/>
        <w:t xml:space="preserve">   • </w:t>
      </w:r>
      <w:r>
        <w:rPr/>
        <w:t>ότι για τα προσφερόμενα είδη (αντιδραστήρια και διάφορα αναλώσιμα) υπάρχουν φύλλα δεδομένων ασφαλείας στην ελληνική γλώσσα, τα οποία οφείλει να προσκομίσει κατά την πρώτη παράδοση του είδους,</w:t>
      </w:r>
    </w:p>
    <w:p>
      <w:pPr>
        <w:pStyle w:val="Normal"/>
        <w:rPr/>
      </w:pPr>
      <w:r>
        <w:rPr/>
        <w:t>η δυνατότητα υποστήριξης, με επισκευές, ανταλλακτικά, βαθμονόμηση, σχετική πληροφόρηση κ.λ.π.</w:t>
      </w:r>
    </w:p>
    <w:p>
      <w:pPr>
        <w:pStyle w:val="Normal"/>
        <w:rPr/>
      </w:pPr>
      <w:r>
        <w:rPr/>
        <w:t xml:space="preserve">    • </w:t>
      </w:r>
      <w:r>
        <w:rPr/>
        <w:t>Το τμήμα της σύμβασης που προτίθενται να αναθέσουν υπό μορφή υπεργολαβίας σε τρίτους, καθώς και τους υπεργολάβους που προτείνουν (εφόσον κάνουν χρήση υπεργολαβίας),</w:t>
      </w:r>
    </w:p>
    <w:p>
      <w:pPr>
        <w:pStyle w:val="Normal"/>
        <w:rPr/>
      </w:pPr>
      <w:r>
        <w:rPr/>
        <w:t xml:space="preserve">    • </w:t>
      </w:r>
      <w:r>
        <w:rPr/>
        <w:t>Ότι αποδέχεται πλήρως και ανεπιφύλακτα όλους τους όρους της παρούσας Πρόσκλησης με τα Παραρτήματα αυτής που αποτελούν αναπόσπαστο μέρος της,</w:t>
      </w:r>
    </w:p>
    <w:p>
      <w:pPr>
        <w:pStyle w:val="Normal"/>
        <w:rPr/>
      </w:pPr>
      <w:r>
        <w:rPr/>
        <w:t xml:space="preserve">    • </w:t>
      </w:r>
      <w:r>
        <w:rPr/>
        <w:t>Ότι η προσφορά συντάχθηκε σύμφωνα με τους όρους, την τάξη και τον τύπο της εν λόγω Πρόσκλησης,</w:t>
      </w:r>
    </w:p>
    <w:p>
      <w:pPr>
        <w:pStyle w:val="Normal"/>
        <w:rPr>
          <w:sz w:val="22"/>
          <w:szCs w:val="22"/>
        </w:rPr>
      </w:pPr>
      <w:r>
        <w:rPr/>
        <w:t xml:space="preserve">    • </w:t>
      </w:r>
      <w:r>
        <w:rPr/>
        <w:t>Ότι τα στοιχεία που αναφέρονται στην προσφορά είναι αληθή και ακριβή,</w:t>
      </w:r>
    </w:p>
    <w:p>
      <w:pPr>
        <w:pStyle w:val="Normal"/>
        <w:rPr>
          <w:sz w:val="22"/>
          <w:szCs w:val="22"/>
        </w:rPr>
      </w:pPr>
      <w:r>
        <w:rPr>
          <w:rFonts w:cs="Calibri" w:cstheme="minorHAnsi"/>
          <w:b w:val="false"/>
          <w:bCs w:val="false"/>
          <w:sz w:val="22"/>
          <w:szCs w:val="22"/>
          <w:shd w:fill="auto" w:val="clear"/>
        </w:rPr>
        <w:t xml:space="preserve">   </w:t>
      </w:r>
      <w:r>
        <w:rPr/>
        <w:t xml:space="preserve"> • </w:t>
      </w:r>
      <w:r>
        <w:rPr/>
        <w:t>Ότι θα προσφέρει το υπό προμήθεια είδος σύμφωνα με τα οριζόμενα στην παρούσα Πρόσκληση και στο ΠΑΡΑΡΤΗΜΑ 1 «Τεχνικές Προδιαγραφές -ΠΙΝΑΚΑΣ ΣΥΜΜΟΡΦΩΣΗΣ» αυτής.</w:t>
      </w:r>
    </w:p>
    <w:p>
      <w:pPr>
        <w:pStyle w:val="Normal"/>
        <w:rPr>
          <w:sz w:val="22"/>
          <w:szCs w:val="22"/>
        </w:rPr>
      </w:pPr>
      <w:r>
        <w:rPr/>
        <w:t xml:space="preserve">    • </w:t>
      </w:r>
      <w:r>
        <w:rPr/>
        <w:t>Ότι διαθέτει την κατάλληλη υποδομή δηλαδή άρτιο συνεργείο, τον απαιτούμενο τεχνικό εξοπλισμό και ειδικευμένο προσωπικό για να εκτελέσει τη σύμβαση σε κατάλληλο επίπεδο ποιότητας.</w:t>
      </w:r>
    </w:p>
    <w:p>
      <w:pPr>
        <w:pStyle w:val="Normal"/>
        <w:rPr>
          <w:sz w:val="22"/>
          <w:szCs w:val="22"/>
        </w:rPr>
      </w:pPr>
      <w:r>
        <w:rPr/>
        <w:t xml:space="preserve">    • </w:t>
      </w:r>
      <w:r>
        <w:rPr/>
        <w:t>Ότι παραιτείται από κάθε δικαίωμα αποζημίωσής του που θα απορρέει από απόφαση των αρμοδίων οργάνων της Υπηρεσίας που διενεργεί το διαγωνισμό, ιδίως λόγω αναβολής, ματαίωσης ή ακύρωσης του διαγωνισμού.</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 xml:space="preserve">Ότι υποβάλλει προσφορά για τα κάτωθι Τμήματα της υπό ανάθεση σύμβασης: 1. …, </w:t>
        <w:tab/>
        <w:t>2…,κλπ.</w:t>
      </w:r>
    </w:p>
    <w:p>
      <w:pPr>
        <w:pStyle w:val="Default"/>
        <w:tabs>
          <w:tab w:val="clear" w:pos="720"/>
          <w:tab w:val="left" w:pos="1134" w:leader="none"/>
        </w:tabs>
        <w:spacing w:before="240" w:after="27"/>
        <w:jc w:val="center"/>
        <w:rPr>
          <w:sz w:val="22"/>
          <w:szCs w:val="22"/>
        </w:rPr>
      </w:pPr>
      <w:r>
        <w:rPr>
          <w:rFonts w:cs="Calibri" w:cstheme="minorHAnsi"/>
          <w:b/>
          <w:bCs/>
          <w:sz w:val="22"/>
          <w:szCs w:val="22"/>
          <w:shd w:fill="auto" w:val="clear"/>
        </w:rPr>
        <w:t>Υποφάκελος Γ: Οικονομική Προσφορά</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 xml:space="preserve">Ο φάκελος Οικονομικής προσφοράς περιέχει </w:t>
      </w:r>
      <w:r>
        <w:rPr>
          <w:rFonts w:cs="Calibri"/>
          <w:b/>
          <w:bCs/>
          <w:sz w:val="22"/>
          <w:szCs w:val="22"/>
          <w:u w:val="single"/>
          <w:shd w:fill="auto" w:val="clear"/>
        </w:rPr>
        <w:t>Ψηφιακά υπογεγραμμέν</w:t>
      </w:r>
      <w:r>
        <w:rPr>
          <w:rFonts w:cs="Calibri"/>
          <w:b/>
          <w:bCs/>
          <w:sz w:val="22"/>
          <w:szCs w:val="22"/>
          <w:u w:val="single"/>
          <w:shd w:fill="auto" w:val="clear"/>
          <w:lang w:val="el-GR"/>
        </w:rPr>
        <w:t>α</w:t>
      </w:r>
      <w:r>
        <w:rPr>
          <w:rFonts w:cs="Calibri"/>
          <w:b/>
          <w:bCs/>
          <w:sz w:val="22"/>
          <w:szCs w:val="22"/>
          <w:u w:val="single"/>
          <w:shd w:fill="auto" w:val="clear"/>
        </w:rPr>
        <w:t xml:space="preserve"> από τον προσφέροντα </w:t>
      </w:r>
      <w:r>
        <w:rPr>
          <w:rFonts w:cs="Calibri"/>
          <w:b/>
          <w:bCs/>
          <w:sz w:val="22"/>
          <w:szCs w:val="22"/>
          <w:u w:val="single"/>
          <w:shd w:fill="auto" w:val="clear"/>
          <w:lang w:val="el-GR"/>
        </w:rPr>
        <w:t xml:space="preserve">τα υπόδείγματα οικονομικής προσφοράς  του </w:t>
      </w:r>
      <w:r>
        <w:rPr>
          <w:rFonts w:cs="Calibri"/>
          <w:b/>
          <w:bCs/>
          <w:sz w:val="22"/>
          <w:szCs w:val="22"/>
          <w:u w:val="single"/>
          <w:shd w:fill="auto" w:val="clear"/>
        </w:rPr>
        <w:t xml:space="preserve">Παραρτήματος </w:t>
      </w:r>
      <w:r>
        <w:rPr>
          <w:rFonts w:cs="Calibri"/>
          <w:b/>
          <w:bCs/>
          <w:sz w:val="22"/>
          <w:szCs w:val="22"/>
          <w:u w:val="single"/>
          <w:shd w:fill="auto" w:val="clear"/>
          <w:lang w:val="el-GR"/>
        </w:rPr>
        <w:t>2</w:t>
      </w:r>
      <w:r>
        <w:rPr>
          <w:rFonts w:cs="Calibri"/>
          <w:b/>
          <w:bCs/>
          <w:sz w:val="22"/>
          <w:szCs w:val="22"/>
          <w:u w:val="single"/>
          <w:shd w:fill="auto" w:val="clear"/>
        </w:rPr>
        <w:t xml:space="preserve"> της παρούσας σε</w:t>
      </w:r>
      <w:r>
        <w:rPr>
          <w:rFonts w:eastAsia="Times New Roman" w:cs="Calibri" w:cstheme="minorHAnsi"/>
          <w:b/>
          <w:bCs/>
          <w:sz w:val="22"/>
          <w:szCs w:val="22"/>
          <w:u w:val="single"/>
          <w:shd w:fill="auto" w:val="clear"/>
          <w:lang w:eastAsia="el-GR"/>
        </w:rPr>
        <w:t xml:space="preserve"> έντυπη μορφή σε δύο αντίτυπα, ένα πρωτότυπο και ένα αντίγραφο.</w:t>
      </w:r>
    </w:p>
    <w:p>
      <w:pPr>
        <w:pStyle w:val="Style19"/>
        <w:spacing w:before="0" w:after="0"/>
        <w:rPr>
          <w:sz w:val="22"/>
          <w:szCs w:val="22"/>
        </w:rPr>
      </w:pPr>
      <w:r>
        <w:rPr>
          <w:rFonts w:cs="Calibri"/>
          <w:b w:val="false"/>
          <w:i w:val="false"/>
          <w:color w:val="000000"/>
          <w:sz w:val="22"/>
          <w:szCs w:val="22"/>
          <w:shd w:fill="auto" w:val="clear"/>
          <w:lang w:val="el-GR"/>
        </w:rPr>
        <w:t>Η</w:t>
      </w:r>
      <w:r>
        <w:rPr>
          <w:rFonts w:cs="Calibri"/>
          <w:b w:val="false"/>
          <w:i w:val="false"/>
          <w:color w:val="000000"/>
          <w:sz w:val="22"/>
          <w:szCs w:val="22"/>
          <w:shd w:fill="auto" w:val="clear"/>
        </w:rPr>
        <w:t xml:space="preserve"> οικονομική προσφορά </w:t>
      </w:r>
      <w:r>
        <w:rPr>
          <w:rFonts w:cs="Calibri"/>
          <w:sz w:val="22"/>
          <w:szCs w:val="22"/>
          <w:shd w:fill="auto" w:val="clear"/>
        </w:rPr>
        <w:t>θα αντιστοιχεί στο σύνολο του κόστους που απαιτείται, μη συμπεριλαμβανομένου του ΦΠΑ, για την προμήθεια όλων των απαραίτητων υλικών (αντιδραστηρίων, calibrators, controls, λοιπών αναλωσίμων υλικών) για τη διενέργεια του συνόλου των εξετάσεων του Νοσοκομείου,</w:t>
      </w:r>
      <w:r>
        <w:rPr>
          <w:rFonts w:cs="Calibri"/>
          <w:sz w:val="22"/>
          <w:szCs w:val="22"/>
          <w:shd w:fill="auto" w:val="clear"/>
          <w:lang w:val="el-GR"/>
        </w:rPr>
        <w:t xml:space="preserve"> για κάθε τμήμα που θα υποβληθεί προσφορά, </w:t>
      </w:r>
      <w:r>
        <w:rPr>
          <w:rFonts w:cs="Calibri"/>
          <w:sz w:val="22"/>
          <w:szCs w:val="22"/>
          <w:shd w:fill="auto" w:val="clear"/>
        </w:rPr>
        <w:t>όπως αυτό προκύπτει από το Γενικό Σύνολο της στήλης</w:t>
      </w:r>
      <w:r>
        <w:rPr>
          <w:rFonts w:cs="Calibri"/>
          <w:sz w:val="22"/>
          <w:szCs w:val="22"/>
          <w:shd w:fill="auto" w:val="clear"/>
          <w:lang w:val="el-GR"/>
        </w:rPr>
        <w:t xml:space="preserve"> </w:t>
      </w:r>
      <w:r>
        <w:rPr>
          <w:rFonts w:cs="Calibri"/>
          <w:b/>
          <w:bCs/>
          <w:sz w:val="22"/>
          <w:szCs w:val="22"/>
          <w:u w:val="none"/>
          <w:shd w:fill="auto" w:val="clear"/>
          <w:lang w:val="el-GR"/>
        </w:rPr>
        <w:t xml:space="preserve">5 </w:t>
      </w:r>
      <w:r>
        <w:rPr>
          <w:rFonts w:cs="Calibri"/>
          <w:b/>
          <w:bCs/>
          <w:sz w:val="22"/>
          <w:szCs w:val="22"/>
          <w:u w:val="none"/>
          <w:shd w:fill="auto" w:val="clear"/>
        </w:rPr>
        <w:t>του Πίνακα</w:t>
      </w:r>
      <w:r>
        <w:rPr>
          <w:rFonts w:cs="Calibri"/>
          <w:b/>
          <w:bCs/>
          <w:sz w:val="22"/>
          <w:szCs w:val="22"/>
          <w:u w:val="none"/>
          <w:shd w:fill="auto" w:val="clear"/>
          <w:lang w:val="el-GR"/>
        </w:rPr>
        <w:t xml:space="preserve"> 3 </w:t>
      </w:r>
      <w:r>
        <w:rPr>
          <w:rFonts w:cs="Calibri"/>
          <w:b/>
          <w:bCs/>
          <w:sz w:val="22"/>
          <w:szCs w:val="22"/>
          <w:u w:val="none"/>
          <w:shd w:fill="auto" w:val="clear"/>
        </w:rPr>
        <w:t>του Παραρτήματος</w:t>
      </w:r>
      <w:r>
        <w:rPr>
          <w:rFonts w:cs="Calibri"/>
          <w:b/>
          <w:bCs/>
          <w:sz w:val="22"/>
          <w:szCs w:val="22"/>
          <w:u w:val="none"/>
          <w:shd w:fill="auto" w:val="clear"/>
          <w:lang w:val="el-GR"/>
        </w:rPr>
        <w:t xml:space="preserve"> 2 για τα τμήματα 1,2 και 3.</w:t>
      </w:r>
    </w:p>
    <w:p>
      <w:pPr>
        <w:pStyle w:val="Default"/>
        <w:tabs>
          <w:tab w:val="clear" w:pos="720"/>
          <w:tab w:val="left" w:pos="1134" w:leader="none"/>
        </w:tabs>
        <w:spacing w:before="240" w:after="27"/>
        <w:jc w:val="both"/>
        <w:rPr>
          <w:sz w:val="22"/>
          <w:szCs w:val="22"/>
        </w:rPr>
      </w:pPr>
      <w:r>
        <w:rPr>
          <w:rFonts w:cs="Calibri" w:cstheme="minorHAnsi"/>
          <w:b w:val="false"/>
          <w:bCs w:val="false"/>
          <w:i w:val="false"/>
          <w:color w:val="000000"/>
          <w:sz w:val="22"/>
          <w:szCs w:val="22"/>
          <w:shd w:fill="auto" w:val="clear"/>
        </w:rPr>
        <w:t>Δεν γίνονται αποδεκτές οικονομικές προσφορές</w:t>
      </w:r>
      <w:r>
        <w:rPr>
          <w:rFonts w:cs="Calibri" w:cstheme="minorHAnsi"/>
          <w:b w:val="false"/>
          <w:bCs w:val="false"/>
          <w:sz w:val="22"/>
          <w:szCs w:val="22"/>
          <w:shd w:fill="auto" w:val="clear"/>
        </w:rPr>
        <w:t xml:space="preserve"> </w:t>
      </w:r>
      <w:r>
        <w:rPr>
          <w:rFonts w:cs="Calibri" w:cstheme="minorHAnsi"/>
          <w:b w:val="false"/>
          <w:bCs w:val="false"/>
          <w:sz w:val="22"/>
          <w:szCs w:val="22"/>
          <w:shd w:fill="auto" w:val="clear"/>
          <w:lang w:val="el-GR"/>
        </w:rPr>
        <w:t>α</w:t>
      </w:r>
      <w:r>
        <w:rPr>
          <w:rFonts w:cs="Calibri" w:cstheme="minorHAnsi"/>
          <w:b w:val="false"/>
          <w:bCs w:val="false"/>
          <w:sz w:val="22"/>
          <w:szCs w:val="22"/>
          <w:shd w:fill="auto" w:val="clear"/>
        </w:rPr>
        <w:t>νώτερες της εκτιμώμενης αξίας του κάθε Τμήματος όπως, αυτή αναφέρεται στην παράγραφο 1.3. της παρούσας.</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Η τιμή των προς προμήθεια ειδών δίνεται σε ευρώ ανά εξέταση.</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Οι προσφέροντες υποχρεούνται να αναγράψουν το ποσοστό Φ.Π.Α. στους σχετικούς πίνακες του ΠΑΡΑΡΤΗΜΑΤΟΣ 2.</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Οι υπέρ τρίτων κρατήσεις υπόκεινται στο εκάστοτε ισχύον αναλογικό τέλος χαρτοσήμου 3% και στην επ’ αυτού εισφορά υπέρ ΟΓΑ 20%.</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Ως απαράδεκτες θα απορρίπτονται προσφορές στις οποίες:</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α) δεν δίνεται τιμή σε ΕΥΡΩ ή που καθορίζεται σχέση ΕΥΡΩ προς ξένο νόμισμα,</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β) δεν προκύπτει με σαφήνεια η προσφερόμενη τιμή, με την επιφύλαξη της παρ. 4 του άρθρου 102 του ν. 4412/2016 και</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γ) η τιμή υπερβαίνει τον προϋπολογισμό της σύμβασης που καθορίζεται και τεκμηριώνεται από την αναθέτουσα αρχή στο άρθρο 1.3 της παρούσας Πρόσκλησης.</w:t>
      </w:r>
    </w:p>
    <w:p>
      <w:pPr>
        <w:pStyle w:val="Default"/>
        <w:tabs>
          <w:tab w:val="clear" w:pos="720"/>
          <w:tab w:val="left" w:pos="1134" w:leader="none"/>
        </w:tabs>
        <w:spacing w:before="240" w:after="27"/>
        <w:jc w:val="both"/>
        <w:rPr>
          <w:sz w:val="22"/>
          <w:szCs w:val="22"/>
        </w:rPr>
      </w:pPr>
      <w:r>
        <w:rPr>
          <w:rFonts w:cs="Calibri" w:cstheme="minorHAnsi"/>
          <w:b w:val="false"/>
          <w:bCs w:val="false"/>
          <w:sz w:val="22"/>
          <w:szCs w:val="22"/>
          <w:shd w:fill="auto" w:val="clear"/>
        </w:rPr>
        <w:t>Για τη σύγκριση των προσφορών θα λαμβάνεται υπόψη η συνολική τιμή της προσφοράς χωρίς Φ.Π.Α.</w:t>
      </w:r>
    </w:p>
    <w:p>
      <w:pPr>
        <w:pStyle w:val="Default"/>
        <w:tabs>
          <w:tab w:val="clear" w:pos="720"/>
          <w:tab w:val="left" w:pos="1134" w:leader="none"/>
        </w:tabs>
        <w:spacing w:before="240" w:after="27"/>
        <w:jc w:val="both"/>
        <w:rPr>
          <w:sz w:val="22"/>
          <w:szCs w:val="22"/>
        </w:rPr>
      </w:pPr>
      <w:r>
        <w:rPr>
          <w:rFonts w:cs="Calibri" w:cstheme="minorHAnsi"/>
          <w:b/>
          <w:bCs/>
          <w:sz w:val="22"/>
          <w:szCs w:val="22"/>
          <w:shd w:fill="auto" w:val="clear"/>
        </w:rPr>
        <w:t>4. Ισχύς προσφορών</w:t>
      </w:r>
    </w:p>
    <w:p>
      <w:pPr>
        <w:pStyle w:val="Default"/>
        <w:tabs>
          <w:tab w:val="clear" w:pos="720"/>
          <w:tab w:val="left" w:pos="1134" w:leader="none"/>
        </w:tabs>
        <w:spacing w:lineRule="auto" w:line="276" w:before="0" w:after="27"/>
        <w:jc w:val="both"/>
        <w:rPr>
          <w:sz w:val="22"/>
          <w:szCs w:val="22"/>
        </w:rPr>
      </w:pPr>
      <w:r>
        <w:rPr>
          <w:rFonts w:cs="Calibri" w:cstheme="minorHAnsi"/>
          <w:sz w:val="22"/>
          <w:szCs w:val="22"/>
          <w:shd w:fill="auto" w:val="clear"/>
        </w:rPr>
        <w:t xml:space="preserve">Οι προσφορές ισχύουν και δεσμεύουν τους συμμετέχοντες στην πρόσκληση </w:t>
      </w:r>
      <w:r>
        <w:rPr>
          <w:rFonts w:cs="Calibri" w:cstheme="minorHAnsi"/>
          <w:color w:val="000000"/>
          <w:sz w:val="22"/>
          <w:szCs w:val="22"/>
          <w:shd w:fill="auto" w:val="clear"/>
        </w:rPr>
        <w:t xml:space="preserve">για </w:t>
      </w:r>
      <w:r>
        <w:rPr>
          <w:rFonts w:cs="Calibri" w:cstheme="minorHAnsi"/>
          <w:b/>
          <w:bCs/>
          <w:color w:val="000000"/>
          <w:sz w:val="22"/>
          <w:szCs w:val="22"/>
          <w:shd w:fill="auto" w:val="clear"/>
        </w:rPr>
        <w:t xml:space="preserve">εκατόν ογδόντα (180) </w:t>
      </w:r>
      <w:r>
        <w:rPr>
          <w:rFonts w:cs="Calibri" w:cstheme="minorHAnsi"/>
          <w:b/>
          <w:color w:val="000000"/>
          <w:sz w:val="22"/>
          <w:szCs w:val="22"/>
          <w:shd w:fill="auto" w:val="clear"/>
        </w:rPr>
        <w:t>μέρες</w:t>
      </w:r>
      <w:r>
        <w:rPr>
          <w:rFonts w:cs="Calibri" w:cstheme="minorHAnsi"/>
          <w:sz w:val="22"/>
          <w:szCs w:val="22"/>
          <w:shd w:fill="auto" w:val="clear"/>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pPr>
        <w:pStyle w:val="Default"/>
        <w:tabs>
          <w:tab w:val="clear" w:pos="720"/>
          <w:tab w:val="left" w:pos="1134" w:leader="none"/>
        </w:tabs>
        <w:spacing w:lineRule="auto" w:line="276" w:before="0" w:after="27"/>
        <w:jc w:val="both"/>
        <w:rPr>
          <w:sz w:val="22"/>
          <w:szCs w:val="22"/>
        </w:rPr>
      </w:pPr>
      <w:r>
        <w:rPr>
          <w:rFonts w:cs="Calibri" w:cstheme="minorHAnsi"/>
          <w:b/>
          <w:bCs/>
          <w:sz w:val="22"/>
          <w:szCs w:val="22"/>
          <w:shd w:fill="auto" w:val="clear"/>
        </w:rPr>
        <w:t>5.Λ</w:t>
      </w:r>
      <w:r>
        <w:rPr>
          <w:rFonts w:eastAsia="Times New Roman" w:cs="Calibri"/>
          <w:b/>
          <w:bCs/>
          <w:color w:val="000000"/>
          <w:sz w:val="22"/>
          <w:szCs w:val="22"/>
          <w:shd w:fill="auto" w:val="clear"/>
          <w:lang w:val="el-GR" w:eastAsia="zh-CN" w:bidi="ar-SA"/>
        </w:rPr>
        <w:t>όγοι απόρριψης προσφορών</w:t>
      </w:r>
    </w:p>
    <w:p>
      <w:pPr>
        <w:pStyle w:val="Style19"/>
        <w:spacing w:before="0" w:after="0"/>
        <w:rPr>
          <w:sz w:val="22"/>
          <w:szCs w:val="22"/>
        </w:rPr>
      </w:pPr>
      <w:r>
        <w:rPr>
          <w:rFonts w:cs="Calibri"/>
          <w:sz w:val="22"/>
          <w:szCs w:val="22"/>
          <w:shd w:fill="auto" w:val="clear"/>
          <w:lang w:val="en-US"/>
        </w:rPr>
        <w:t>H</w:t>
      </w:r>
      <w:r>
        <w:rPr>
          <w:rFonts w:cs="Calibri"/>
          <w:sz w:val="22"/>
          <w:szCs w:val="22"/>
          <w:shd w:fill="auto" w:val="clea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pPr>
        <w:pStyle w:val="Style19"/>
        <w:spacing w:before="0" w:after="0"/>
        <w:rPr>
          <w:rFonts w:cs="Calibri"/>
          <w:sz w:val="22"/>
          <w:szCs w:val="22"/>
          <w:highlight w:val="none"/>
          <w:shd w:fill="auto" w:val="clear"/>
          <w:lang w:val="el-GR"/>
        </w:rPr>
      </w:pPr>
      <w:r>
        <w:rPr>
          <w:rFonts w:cs="Calibri"/>
          <w:sz w:val="22"/>
          <w:szCs w:val="22"/>
          <w:shd w:fill="auto" w:val="clear"/>
          <w:lang w:val="el-GR"/>
        </w:rPr>
      </w:r>
    </w:p>
    <w:p>
      <w:pPr>
        <w:pStyle w:val="Style19"/>
        <w:spacing w:before="0" w:after="0"/>
        <w:jc w:val="both"/>
        <w:rPr>
          <w:sz w:val="22"/>
          <w:szCs w:val="22"/>
        </w:rPr>
      </w:pPr>
      <w:r>
        <w:rPr>
          <w:rFonts w:cs="Calibri"/>
          <w:b/>
          <w:bCs/>
          <w:sz w:val="22"/>
          <w:szCs w:val="22"/>
          <w:shd w:fill="auto" w:val="clear"/>
        </w:rPr>
        <w:t>α)</w:t>
      </w:r>
      <w:r>
        <w:rPr>
          <w:rFonts w:cs="Calibri"/>
          <w:sz w:val="22"/>
          <w:szCs w:val="22"/>
          <w:shd w:fill="auto" w:val="clear"/>
        </w:rPr>
        <w:t xml:space="preserve">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w:t>
      </w:r>
      <w:r>
        <w:rPr>
          <w:rFonts w:cs="Calibri"/>
          <w:sz w:val="22"/>
          <w:szCs w:val="22"/>
          <w:shd w:fill="auto" w:val="clear"/>
          <w:lang w:val="el-GR"/>
        </w:rPr>
        <w:t>Προϋποθέσεις συμμετοχής</w:t>
      </w:r>
      <w:r>
        <w:rPr>
          <w:rFonts w:cs="Calibri"/>
          <w:sz w:val="22"/>
          <w:szCs w:val="22"/>
          <w:shd w:fill="auto" w:val="clear"/>
        </w:rPr>
        <w:t>), 3.(</w:t>
      </w:r>
      <w:r>
        <w:rPr>
          <w:rFonts w:cs="Calibri"/>
          <w:sz w:val="22"/>
          <w:szCs w:val="22"/>
          <w:shd w:fill="auto" w:val="clear"/>
          <w:lang w:val="el-GR"/>
        </w:rPr>
        <w:t>Κατάρτηση και υποβολή προσφορών</w:t>
      </w:r>
      <w:r>
        <w:rPr>
          <w:rFonts w:cs="Calibri"/>
          <w:sz w:val="22"/>
          <w:szCs w:val="22"/>
          <w:shd w:fill="auto" w:val="clear"/>
        </w:rPr>
        <w:t xml:space="preserve">), 3.1( </w:t>
      </w:r>
      <w:r>
        <w:rPr>
          <w:rFonts w:cs="Calibri"/>
          <w:sz w:val="22"/>
          <w:szCs w:val="22"/>
          <w:shd w:fill="auto" w:val="clear"/>
          <w:lang w:val="el-GR"/>
        </w:rPr>
        <w:t>Τρόπος υποβολής προσφορών/περιεχόμενο φακέλου</w:t>
      </w:r>
      <w:r>
        <w:rPr>
          <w:rFonts w:cs="Calibri"/>
          <w:sz w:val="22"/>
          <w:szCs w:val="22"/>
          <w:shd w:fill="auto" w:val="clear"/>
        </w:rPr>
        <w:t>),4. (</w:t>
      </w:r>
      <w:r>
        <w:rPr>
          <w:rFonts w:cs="Calibri"/>
          <w:sz w:val="22"/>
          <w:szCs w:val="22"/>
          <w:shd w:fill="auto" w:val="clear"/>
          <w:lang w:val="el-GR"/>
        </w:rPr>
        <w:t>Ισχύς προσφορών</w:t>
      </w:r>
      <w:r>
        <w:rPr>
          <w:rFonts w:cs="Calibri"/>
          <w:sz w:val="22"/>
          <w:szCs w:val="22"/>
          <w:shd w:fill="auto" w:val="clear"/>
        </w:rPr>
        <w:t>), της παρούσας,</w:t>
      </w:r>
    </w:p>
    <w:p>
      <w:pPr>
        <w:pStyle w:val="Style19"/>
        <w:spacing w:before="0" w:after="0"/>
        <w:jc w:val="both"/>
        <w:rPr>
          <w:sz w:val="22"/>
          <w:szCs w:val="22"/>
        </w:rPr>
      </w:pPr>
      <w:r>
        <w:rPr>
          <w:rFonts w:cs="Calibri"/>
          <w:b/>
          <w:bCs/>
          <w:sz w:val="22"/>
          <w:szCs w:val="22"/>
        </w:rPr>
        <w:t>β)</w:t>
      </w:r>
      <w:r>
        <w:rPr>
          <w:rFonts w:cs="Calibri"/>
          <w:sz w:val="22"/>
          <w:szCs w:val="22"/>
        </w:rPr>
        <w:t xml:space="preserve"> η οποία περιέχει ατελείς, ελλιπείς, ασαφείς ή λανθασμένες πληροφορίες ή τεκμηρίωση,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w:t>
      </w:r>
    </w:p>
    <w:p>
      <w:pPr>
        <w:pStyle w:val="Style19"/>
        <w:spacing w:before="0" w:after="0"/>
        <w:jc w:val="both"/>
        <w:rPr>
          <w:sz w:val="22"/>
          <w:szCs w:val="22"/>
        </w:rPr>
      </w:pPr>
      <w:r>
        <w:rPr>
          <w:rFonts w:cs="Calibri"/>
          <w:b/>
          <w:bCs/>
          <w:sz w:val="22"/>
          <w:szCs w:val="22"/>
        </w:rPr>
        <w:t>γ)</w:t>
      </w:r>
      <w:r>
        <w:rPr>
          <w:rFonts w:cs="Calibri"/>
          <w:sz w:val="22"/>
          <w:szCs w:val="22"/>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τα άρθρα 102 και 103 του ν. 4412/2016,</w:t>
      </w:r>
    </w:p>
    <w:p>
      <w:pPr>
        <w:pStyle w:val="Style19"/>
        <w:spacing w:before="0" w:after="0"/>
        <w:rPr>
          <w:sz w:val="22"/>
          <w:szCs w:val="22"/>
        </w:rPr>
      </w:pPr>
      <w:r>
        <w:rPr>
          <w:rFonts w:cs="Calibri"/>
          <w:b/>
          <w:bCs/>
          <w:sz w:val="22"/>
          <w:szCs w:val="22"/>
        </w:rPr>
        <w:t>δ)</w:t>
      </w:r>
      <w:r>
        <w:rPr>
          <w:rFonts w:cs="Calibri"/>
          <w:sz w:val="22"/>
          <w:szCs w:val="22"/>
        </w:rPr>
        <w:t xml:space="preserve"> η οποία είναι εναλλακτική προσφορά,</w:t>
      </w:r>
    </w:p>
    <w:p>
      <w:pPr>
        <w:pStyle w:val="Style19"/>
        <w:spacing w:before="0" w:after="0"/>
        <w:rPr>
          <w:sz w:val="22"/>
          <w:szCs w:val="22"/>
        </w:rPr>
      </w:pPr>
      <w:r>
        <w:rPr>
          <w:rFonts w:cs="Calibri"/>
          <w:b/>
          <w:bCs/>
          <w:sz w:val="22"/>
          <w:szCs w:val="22"/>
          <w:lang w:val="el-GR"/>
        </w:rPr>
        <w:t>ε</w:t>
      </w:r>
      <w:r>
        <w:rPr>
          <w:rFonts w:cs="Calibri"/>
          <w:b/>
          <w:bCs/>
          <w:sz w:val="22"/>
          <w:szCs w:val="22"/>
        </w:rPr>
        <w:t>)</w:t>
      </w:r>
      <w:r>
        <w:rPr>
          <w:rFonts w:cs="Calibri"/>
          <w:sz w:val="22"/>
          <w:szCs w:val="22"/>
        </w:rPr>
        <w:t xml:space="preserve"> η οποία είναι υπό αίρεση,</w:t>
      </w:r>
    </w:p>
    <w:p>
      <w:pPr>
        <w:pStyle w:val="Style19"/>
        <w:spacing w:before="0" w:after="0"/>
        <w:rPr>
          <w:sz w:val="22"/>
          <w:szCs w:val="22"/>
        </w:rPr>
      </w:pPr>
      <w:r>
        <w:rPr>
          <w:rFonts w:cs="Calibri"/>
          <w:b/>
          <w:bCs/>
          <w:sz w:val="22"/>
          <w:szCs w:val="22"/>
          <w:lang w:val="el-GR"/>
        </w:rPr>
        <w:t>στ</w:t>
      </w:r>
      <w:r>
        <w:rPr>
          <w:rFonts w:cs="Calibri"/>
          <w:b/>
          <w:bCs/>
          <w:sz w:val="22"/>
          <w:szCs w:val="22"/>
        </w:rPr>
        <w:t>)</w:t>
      </w:r>
      <w:r>
        <w:rPr>
          <w:rFonts w:cs="Calibri"/>
          <w:sz w:val="22"/>
          <w:szCs w:val="22"/>
        </w:rPr>
        <w:t xml:space="preserve"> η οποία θέτει όρο αναπροσαρμογής, </w:t>
      </w:r>
    </w:p>
    <w:p>
      <w:pPr>
        <w:pStyle w:val="Style19"/>
        <w:spacing w:before="0" w:after="0"/>
        <w:rPr>
          <w:sz w:val="22"/>
          <w:szCs w:val="22"/>
        </w:rPr>
      </w:pPr>
      <w:r>
        <w:rPr>
          <w:rFonts w:cs="Calibri"/>
          <w:b/>
          <w:bCs/>
          <w:sz w:val="22"/>
          <w:szCs w:val="22"/>
          <w:lang w:val="el-GR"/>
        </w:rPr>
        <w:t>ζ</w:t>
      </w:r>
      <w:r>
        <w:rPr>
          <w:rFonts w:cs="Calibri"/>
          <w:b/>
          <w:bCs/>
          <w:sz w:val="22"/>
          <w:szCs w:val="22"/>
        </w:rPr>
        <w:t>)</w:t>
      </w:r>
      <w:r>
        <w:rPr>
          <w:rFonts w:cs="Calibri"/>
          <w:sz w:val="22"/>
          <w:szCs w:val="22"/>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pPr>
        <w:pStyle w:val="Style19"/>
        <w:spacing w:before="0" w:after="0"/>
        <w:rPr>
          <w:sz w:val="22"/>
          <w:szCs w:val="22"/>
        </w:rPr>
      </w:pPr>
      <w:r>
        <w:rPr>
          <w:rFonts w:cs="Calibri"/>
          <w:b/>
          <w:bCs/>
          <w:sz w:val="22"/>
          <w:szCs w:val="22"/>
          <w:lang w:val="el-GR"/>
        </w:rPr>
        <w:t>η</w:t>
      </w:r>
      <w:r>
        <w:rPr>
          <w:rFonts w:cs="Calibri"/>
          <w:b/>
          <w:bCs/>
          <w:sz w:val="22"/>
          <w:szCs w:val="22"/>
        </w:rPr>
        <w:t>)</w:t>
      </w:r>
      <w:r>
        <w:rPr>
          <w:rFonts w:cs="Calibri"/>
          <w:sz w:val="22"/>
          <w:szCs w:val="22"/>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pPr>
        <w:pStyle w:val="Style19"/>
        <w:spacing w:before="0" w:after="0"/>
        <w:rPr>
          <w:sz w:val="22"/>
          <w:szCs w:val="22"/>
        </w:rPr>
      </w:pPr>
      <w:r>
        <w:rPr>
          <w:rFonts w:cs="Calibri"/>
          <w:b/>
          <w:bCs/>
          <w:sz w:val="22"/>
          <w:szCs w:val="22"/>
          <w:lang w:val="el-GR"/>
        </w:rPr>
        <w:t>θ</w:t>
      </w:r>
      <w:r>
        <w:rPr>
          <w:rFonts w:cs="Calibri"/>
          <w:b/>
          <w:bCs/>
          <w:sz w:val="22"/>
          <w:szCs w:val="22"/>
        </w:rPr>
        <w:t>)</w:t>
      </w:r>
      <w:r>
        <w:rPr>
          <w:rFonts w:cs="Calibri"/>
          <w:sz w:val="22"/>
          <w:szCs w:val="22"/>
        </w:rPr>
        <w:t xml:space="preserve"> η οποία παρουσιάζει αποκλίσεις ως προς τους όρους και τις τεχνικές προδιαγραφές της σύμβασης,</w:t>
      </w:r>
    </w:p>
    <w:p>
      <w:pPr>
        <w:pStyle w:val="Style19"/>
        <w:spacing w:before="0" w:after="0"/>
        <w:rPr>
          <w:sz w:val="22"/>
          <w:szCs w:val="22"/>
        </w:rPr>
      </w:pPr>
      <w:r>
        <w:rPr>
          <w:rFonts w:cs="Calibri"/>
          <w:b/>
          <w:bCs/>
          <w:sz w:val="22"/>
          <w:szCs w:val="22"/>
        </w:rPr>
        <w:t>ι)</w:t>
      </w:r>
      <w:r>
        <w:rPr>
          <w:rFonts w:cs="Calibri"/>
          <w:sz w:val="22"/>
          <w:szCs w:val="22"/>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pPr>
        <w:pStyle w:val="Style19"/>
        <w:spacing w:before="0" w:after="0"/>
        <w:rPr>
          <w:sz w:val="22"/>
          <w:szCs w:val="22"/>
        </w:rPr>
      </w:pPr>
      <w:r>
        <w:rPr>
          <w:rFonts w:cs="Calibri"/>
          <w:b/>
          <w:bCs/>
          <w:sz w:val="22"/>
          <w:szCs w:val="22"/>
          <w:lang w:val="el-GR"/>
        </w:rPr>
        <w:t>ια)</w:t>
      </w:r>
      <w:r>
        <w:rPr>
          <w:rFonts w:cs="Calibri"/>
          <w:sz w:val="22"/>
          <w:szCs w:val="22"/>
          <w:lang w:val="el-GR"/>
        </w:rPr>
        <w:t xml:space="preserve"> εάν από τα δικαιολογητικά του άρθρου 103 του ν. 4412/2016, που προσκομίζονται από τον προσωρινό ανάδοχο, δεν αποδεικνύεται </w:t>
      </w:r>
      <w:r>
        <w:rPr>
          <w:rFonts w:cs="Calibri"/>
          <w:sz w:val="22"/>
          <w:szCs w:val="22"/>
          <w:lang w:val="el-GR" w:eastAsia="el-GR"/>
        </w:rPr>
        <w:t xml:space="preserve">η μη συνδρομή των λόγων αποκλεισμού της παραγράφου </w:t>
      </w:r>
      <w:r>
        <w:rPr>
          <w:rFonts w:cs="Calibri"/>
          <w:sz w:val="22"/>
          <w:szCs w:val="22"/>
          <w:shd w:fill="auto" w:val="clear"/>
          <w:lang w:val="el-GR" w:eastAsia="el-GR"/>
        </w:rPr>
        <w:t xml:space="preserve">3.1(Υποφάκελος Α΄-Δικαιολογητικά συμμετοχής) της παρούσας </w:t>
      </w:r>
      <w:r>
        <w:rPr>
          <w:rFonts w:cs="Calibri"/>
          <w:b w:val="false"/>
          <w:bCs w:val="false"/>
          <w:sz w:val="22"/>
          <w:szCs w:val="22"/>
          <w:shd w:fill="auto" w:val="clear"/>
          <w:lang w:val="el-GR" w:eastAsia="el-GR"/>
        </w:rPr>
        <w:t>.</w:t>
      </w:r>
    </w:p>
    <w:p>
      <w:pPr>
        <w:pStyle w:val="Default"/>
        <w:tabs>
          <w:tab w:val="clear" w:pos="720"/>
          <w:tab w:val="left" w:pos="1134" w:leader="none"/>
        </w:tabs>
        <w:spacing w:lineRule="auto" w:line="276" w:before="0" w:after="27"/>
        <w:jc w:val="both"/>
        <w:rPr>
          <w:sz w:val="22"/>
          <w:szCs w:val="22"/>
        </w:rPr>
      </w:pPr>
      <w:r>
        <w:rPr>
          <w:rFonts w:cs="Calibri" w:cstheme="minorHAnsi"/>
          <w:b/>
          <w:bCs/>
          <w:sz w:val="22"/>
          <w:szCs w:val="22"/>
          <w:shd w:fill="auto" w:val="clear"/>
          <w:lang w:val="el-GR" w:eastAsia="el-GR"/>
        </w:rPr>
        <w:t>ιγ)</w:t>
      </w:r>
      <w:r>
        <w:rPr>
          <w:rFonts w:cs="Calibri" w:cstheme="minorHAnsi"/>
          <w:sz w:val="22"/>
          <w:szCs w:val="22"/>
          <w:shd w:fill="auto" w:val="clear"/>
          <w:lang w:val="el-GR" w:eastAsia="el-GR"/>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Pr>
          <w:rFonts w:cs="Calibri" w:cstheme="minorHAnsi"/>
          <w:sz w:val="22"/>
          <w:szCs w:val="22"/>
          <w:shd w:fill="auto" w:val="clear"/>
          <w:lang w:val="el-GR"/>
        </w:rPr>
        <w:t>.</w:t>
      </w:r>
    </w:p>
    <w:p>
      <w:pPr>
        <w:pStyle w:val="Default"/>
        <w:tabs>
          <w:tab w:val="clear" w:pos="720"/>
          <w:tab w:val="left" w:pos="1134" w:leader="none"/>
        </w:tabs>
        <w:spacing w:before="240" w:after="27"/>
        <w:jc w:val="both"/>
        <w:rPr>
          <w:sz w:val="22"/>
          <w:szCs w:val="22"/>
        </w:rPr>
      </w:pPr>
      <w:r>
        <w:rPr>
          <w:rFonts w:cs="Calibri" w:cstheme="minorHAnsi"/>
          <w:b/>
          <w:bCs/>
          <w:color w:val="auto"/>
          <w:sz w:val="22"/>
          <w:szCs w:val="22"/>
        </w:rPr>
        <w:t>6. Ειδικοί όροι</w:t>
      </w:r>
    </w:p>
    <w:p>
      <w:pPr>
        <w:pStyle w:val="Default"/>
        <w:numPr>
          <w:ilvl w:val="0"/>
          <w:numId w:val="4"/>
        </w:numPr>
        <w:tabs>
          <w:tab w:val="clear" w:pos="720"/>
          <w:tab w:val="left" w:pos="1134" w:leader="none"/>
        </w:tabs>
        <w:spacing w:before="0" w:after="27"/>
        <w:jc w:val="both"/>
        <w:rPr>
          <w:sz w:val="22"/>
          <w:szCs w:val="22"/>
        </w:rPr>
      </w:pPr>
      <w:r>
        <w:rPr>
          <w:rFonts w:cs="Calibri" w:cstheme="minorHAnsi"/>
          <w:color w:val="auto"/>
          <w:sz w:val="22"/>
          <w:szCs w:val="22"/>
        </w:rPr>
        <w:t>Η Αναθέτουσα Αρχή διατηρεί το δικαίωμα να ζητήσει από τους συμμετέχοντες στοιχεία απαραίτητα για την τεκμηρίωση των προσφερόμενων τιμών και αυτοί υποχρεούνται να τα παρέχουν.</w:t>
      </w:r>
    </w:p>
    <w:p>
      <w:pPr>
        <w:pStyle w:val="Default"/>
        <w:numPr>
          <w:ilvl w:val="0"/>
          <w:numId w:val="4"/>
        </w:numPr>
        <w:tabs>
          <w:tab w:val="clear" w:pos="720"/>
          <w:tab w:val="left" w:pos="1134" w:leader="none"/>
        </w:tabs>
        <w:spacing w:before="0" w:after="27"/>
        <w:jc w:val="both"/>
        <w:rPr>
          <w:sz w:val="22"/>
          <w:szCs w:val="22"/>
        </w:rPr>
      </w:pPr>
      <w:r>
        <w:rPr>
          <w:rFonts w:cs="Calibri" w:cstheme="minorHAnsi"/>
          <w:color w:val="auto"/>
          <w:sz w:val="22"/>
          <w:szCs w:val="22"/>
        </w:rPr>
        <w:t xml:space="preserve">Οι τιμές των προσφορών δεν υπόκεινται σε μεταβολή κατά τη διάρκεια ισχύος της προσφοράς. </w:t>
      </w:r>
    </w:p>
    <w:p>
      <w:pPr>
        <w:pStyle w:val="Default"/>
        <w:numPr>
          <w:ilvl w:val="0"/>
          <w:numId w:val="4"/>
        </w:numPr>
        <w:tabs>
          <w:tab w:val="clear" w:pos="720"/>
          <w:tab w:val="left" w:pos="1134" w:leader="none"/>
        </w:tabs>
        <w:spacing w:before="0" w:after="27"/>
        <w:jc w:val="both"/>
        <w:rPr>
          <w:sz w:val="22"/>
          <w:szCs w:val="22"/>
        </w:rPr>
      </w:pPr>
      <w:r>
        <w:rPr>
          <w:rFonts w:cs="Calibri" w:cstheme="minorHAnsi"/>
          <w:sz w:val="22"/>
          <w:szCs w:val="22"/>
        </w:rPr>
        <w:t>Ο ανάδοχος υποχρεούται κατά την εκτέλεση της σύμβασης να τηρεί τις υποχρεώσεις στους τομείς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Παράρτημα Χ του Προσαρτήματος Α του ν. 4412/2016.</w:t>
      </w:r>
    </w:p>
    <w:p>
      <w:pPr>
        <w:pStyle w:val="Default"/>
        <w:numPr>
          <w:ilvl w:val="0"/>
          <w:numId w:val="4"/>
        </w:numPr>
        <w:tabs>
          <w:tab w:val="clear" w:pos="720"/>
          <w:tab w:val="left" w:pos="1134" w:leader="none"/>
        </w:tabs>
        <w:spacing w:before="0" w:after="27"/>
        <w:jc w:val="both"/>
        <w:rPr>
          <w:sz w:val="22"/>
          <w:szCs w:val="22"/>
        </w:rPr>
      </w:pPr>
      <w:r>
        <w:rPr>
          <w:rFonts w:cs="Calibri" w:cstheme="minorHAnsi"/>
          <w:sz w:val="22"/>
          <w:szCs w:val="22"/>
        </w:rPr>
        <w:t>Η Αναθέτουσα Αρχή διατηρεί το δικαίωμα να τροποποιεί τους όρους της παρούσας και να περιορίζει ή ματαιώνει τη διαδικασία ανάθεσης. Οι συμμετέχοντες δεν έχουν καμιά οικονομική απαίτηση σε τέτοια περίπτωση.</w:t>
      </w:r>
    </w:p>
    <w:p>
      <w:pPr>
        <w:pStyle w:val="Default"/>
        <w:numPr>
          <w:ilvl w:val="0"/>
          <w:numId w:val="4"/>
        </w:numPr>
        <w:tabs>
          <w:tab w:val="clear" w:pos="720"/>
          <w:tab w:val="left" w:pos="1134" w:leader="none"/>
        </w:tabs>
        <w:spacing w:before="0" w:after="27"/>
        <w:jc w:val="both"/>
        <w:rPr/>
      </w:pPr>
      <w:r>
        <w:rPr>
          <w:rFonts w:cs="Calibri" w:cstheme="minorHAnsi"/>
          <w:sz w:val="22"/>
          <w:szCs w:val="22"/>
        </w:rPr>
        <w:t xml:space="preserve">Τα δημόσια και ιδιωτικά έγγραφα, καθώς και τα αλλοδαπά δημόσια έγγραφα υποβάλλονται και γίνονται αποδεκτά, σύμφωνα με τα οριζόμενα στο άρθρο 1 του ν.4250/2014. Ειδικότερα, δεν υφίσταται πλέον η </w:t>
      </w:r>
      <w:r>
        <w:rPr>
          <w:rStyle w:val="Fontstyle01"/>
          <w:rFonts w:cs="Calibri" w:cstheme="minorHAnsi"/>
          <w:sz w:val="22"/>
          <w:szCs w:val="22"/>
        </w:rPr>
        <w:t>υποχρέωση υποβολής πρωτότυπων εγγράφων, ενώ υποβάλλονται και γίνονται αποδεκτά ευκρινή φωτοαντίγραφα αυτών που εκδόθηκαν από Δημόσιες Υπηρεσίες.</w:t>
      </w:r>
    </w:p>
    <w:p>
      <w:pPr>
        <w:pStyle w:val="Default"/>
        <w:numPr>
          <w:ilvl w:val="0"/>
          <w:numId w:val="4"/>
        </w:numPr>
        <w:tabs>
          <w:tab w:val="clear" w:pos="720"/>
          <w:tab w:val="left" w:pos="1134" w:leader="none"/>
        </w:tabs>
        <w:spacing w:before="0" w:after="27"/>
        <w:jc w:val="both"/>
        <w:rPr/>
      </w:pPr>
      <w:r>
        <w:rPr>
          <w:rStyle w:val="Fontstyle01"/>
          <w:rFonts w:cs="Calibri" w:cstheme="minorHAnsi"/>
          <w:sz w:val="22"/>
          <w:szCs w:val="22"/>
        </w:rPr>
        <w:t>Με την υποβολή της προσφοράς κάθε οικονομικός φορέας αποδέχεται ότι τα γνωστοποιούμενα από μέρους του στοιχεία επικοινωνίας (ταχυδρομική διεύθυνση, αριθμός τηλ. και διεύθυνση ηλεκτρονικού ταχυδρομείου) είναι αληθή και ακριβή και αναγνωρίζει την εγκυρότητα κάθε κοινοποίησης πράξεων της διαδικασίας σε αυτά ή μέσω αυτών.</w:t>
      </w:r>
    </w:p>
    <w:p>
      <w:pPr>
        <w:pStyle w:val="Default"/>
        <w:numPr>
          <w:ilvl w:val="0"/>
          <w:numId w:val="4"/>
        </w:numPr>
        <w:tabs>
          <w:tab w:val="clear" w:pos="720"/>
          <w:tab w:val="left" w:pos="1134" w:leader="none"/>
        </w:tabs>
        <w:spacing w:before="0" w:after="27"/>
        <w:jc w:val="both"/>
        <w:rPr/>
      </w:pPr>
      <w:r>
        <w:rPr>
          <w:rStyle w:val="Fontstyle01"/>
          <w:rFonts w:cs="Calibri" w:cstheme="minorHAnsi"/>
          <w:sz w:val="22"/>
          <w:szCs w:val="22"/>
        </w:rPr>
        <w:t>Εναλλακτικές προσφορές δεν θα γίνονται δεκτές. Επίσης δεν γίνονται δεκτές, προσφορές που ξεπερνούν τον προϋπολογισμό, καθώς και όσες παρελήφθησαν εκπρόθεσμα.</w:t>
      </w:r>
    </w:p>
    <w:p>
      <w:pPr>
        <w:pStyle w:val="Default"/>
        <w:numPr>
          <w:ilvl w:val="0"/>
          <w:numId w:val="4"/>
        </w:numPr>
        <w:tabs>
          <w:tab w:val="clear" w:pos="720"/>
          <w:tab w:val="left" w:pos="1134" w:leader="none"/>
        </w:tabs>
        <w:spacing w:before="0" w:after="27"/>
        <w:jc w:val="both"/>
        <w:rPr/>
      </w:pPr>
      <w:r>
        <w:rPr>
          <w:rStyle w:val="Fontstyle01"/>
          <w:rFonts w:cs="Calibri" w:cstheme="minorHAnsi"/>
          <w:sz w:val="22"/>
          <w:szCs w:val="22"/>
        </w:rPr>
        <w:t>Οι προσφέροντες δεν δικαιούνται ουδεμία αποζημίωση για δαπάνες σχετικές με τη συμμετοχή τους.</w:t>
      </w:r>
    </w:p>
    <w:p>
      <w:pPr>
        <w:pStyle w:val="Default"/>
        <w:numPr>
          <w:ilvl w:val="0"/>
          <w:numId w:val="4"/>
        </w:numPr>
        <w:tabs>
          <w:tab w:val="clear" w:pos="720"/>
          <w:tab w:val="left" w:pos="1134" w:leader="none"/>
        </w:tabs>
        <w:spacing w:before="0" w:after="27"/>
        <w:jc w:val="both"/>
        <w:rPr/>
      </w:pPr>
      <w:r>
        <w:rPr>
          <w:rStyle w:val="Fontstyle01"/>
          <w:rFonts w:cs="Calibri" w:cstheme="minorHAnsi"/>
          <w:sz w:val="22"/>
          <w:szCs w:val="22"/>
        </w:rPr>
        <w:t>Οι προσφέροντες θεωρείται ότι αποδέχονται πλήρως και ανεπιφυλάκτως όλους τους όρους της πρόσκλησης και δεν δύνανται, με την προσφορά τους ή με οποιονδήποτε άλλο τρόπο να αποκρούσουν ευθέως ή εμμέσως τους όρους αυτούς.</w:t>
      </w:r>
    </w:p>
    <w:p>
      <w:pPr>
        <w:pStyle w:val="Default"/>
        <w:tabs>
          <w:tab w:val="clear" w:pos="720"/>
          <w:tab w:val="left" w:pos="1134" w:leader="none"/>
        </w:tabs>
        <w:spacing w:before="240" w:after="27"/>
        <w:jc w:val="both"/>
        <w:rPr>
          <w:sz w:val="22"/>
          <w:szCs w:val="22"/>
        </w:rPr>
      </w:pPr>
      <w:r>
        <w:rPr>
          <w:rFonts w:cs="Calibri" w:cstheme="minorHAnsi"/>
          <w:b/>
          <w:bCs/>
          <w:color w:val="auto"/>
          <w:sz w:val="22"/>
          <w:szCs w:val="22"/>
        </w:rPr>
        <w:t>7. Αξιολόγηση προσφορών-</w:t>
      </w:r>
      <w:r>
        <w:rPr>
          <w:rFonts w:cs="Calibri" w:cstheme="minorHAnsi"/>
          <w:b/>
          <w:bCs/>
          <w:sz w:val="22"/>
          <w:szCs w:val="22"/>
        </w:rPr>
        <w:t>ανάθεση</w:t>
      </w:r>
    </w:p>
    <w:p>
      <w:pPr>
        <w:pStyle w:val="Default"/>
        <w:tabs>
          <w:tab w:val="clear" w:pos="720"/>
          <w:tab w:val="left" w:pos="1134" w:leader="none"/>
        </w:tabs>
        <w:spacing w:lineRule="auto" w:line="276" w:before="0" w:after="27"/>
        <w:jc w:val="both"/>
        <w:rPr>
          <w:sz w:val="22"/>
          <w:szCs w:val="22"/>
        </w:rPr>
      </w:pPr>
      <w:r>
        <w:rPr>
          <w:rFonts w:cs="Calibri" w:cstheme="minorHAnsi"/>
          <w:sz w:val="22"/>
          <w:szCs w:val="22"/>
        </w:rPr>
        <w:t>Το κριτήριο ανάθεσης είναι η πλέον συμφέρουσα από οικονομική άποψη προσφορά βάσει της τιμής (χαμηλότερη</w:t>
        <w:br/>
        <w:t xml:space="preserve">τιμή). </w:t>
      </w:r>
    </w:p>
    <w:p>
      <w:pPr>
        <w:pStyle w:val="Default"/>
        <w:tabs>
          <w:tab w:val="clear" w:pos="720"/>
          <w:tab w:val="left" w:pos="1134" w:leader="none"/>
        </w:tabs>
        <w:spacing w:lineRule="auto" w:line="276" w:before="0" w:after="27"/>
        <w:jc w:val="both"/>
        <w:rPr>
          <w:sz w:val="22"/>
          <w:szCs w:val="22"/>
        </w:rPr>
      </w:pPr>
      <w:r>
        <w:rPr>
          <w:rFonts w:cs="Calibri" w:cstheme="minorHAnsi"/>
          <w:sz w:val="22"/>
          <w:szCs w:val="22"/>
        </w:rPr>
        <w:t>Σε περίπτωση ύπαρξης περισσότερων της μίας αποδεκτών ισότιμων προσφορών, η ανάθεση γίνεται με κλήρωση</w:t>
        <w:br/>
        <w:t>μεταξύ των υποψήφιων αναδόχων.</w:t>
      </w:r>
    </w:p>
    <w:p>
      <w:pPr>
        <w:pStyle w:val="Default"/>
        <w:tabs>
          <w:tab w:val="clear" w:pos="720"/>
          <w:tab w:val="left" w:pos="1134" w:leader="none"/>
        </w:tabs>
        <w:spacing w:before="240" w:after="27"/>
        <w:jc w:val="both"/>
        <w:rPr>
          <w:rStyle w:val="Fontstyle01"/>
          <w:rFonts w:eastAsia="Times New Roman" w:cs="Calibri" w:cstheme="minorHAnsi"/>
          <w:b/>
          <w:b/>
          <w:bCs/>
          <w:color w:val="000000"/>
          <w:sz w:val="22"/>
          <w:szCs w:val="22"/>
          <w:u w:val="single"/>
          <w:shd w:fill="auto" w:val="clear"/>
          <w:lang w:eastAsia="el-GR"/>
        </w:rPr>
      </w:pPr>
      <w:r>
        <w:rPr>
          <w:rFonts w:eastAsia="Times New Roman" w:cs="Calibri" w:cstheme="minorHAnsi"/>
          <w:b/>
          <w:bCs/>
          <w:color w:val="000000"/>
          <w:sz w:val="22"/>
          <w:szCs w:val="22"/>
          <w:u w:val="single"/>
          <w:shd w:fill="auto" w:val="clear"/>
          <w:lang w:eastAsia="el-GR"/>
        </w:rPr>
      </w:r>
    </w:p>
    <w:p>
      <w:pPr>
        <w:pStyle w:val="Normal"/>
        <w:jc w:val="both"/>
        <w:rPr>
          <w:sz w:val="22"/>
          <w:szCs w:val="22"/>
        </w:rPr>
      </w:pPr>
      <w:r>
        <w:rPr>
          <w:b/>
          <w:sz w:val="22"/>
          <w:szCs w:val="22"/>
          <w:u w:val="single"/>
          <w:shd w:fill="auto" w:val="clear"/>
          <w:lang w:val="el-GR"/>
        </w:rPr>
        <w:t>7.1</w:t>
      </w:r>
      <w:r>
        <w:rPr>
          <w:sz w:val="22"/>
          <w:szCs w:val="22"/>
          <w:u w:val="single"/>
          <w:shd w:fill="auto" w:val="clear"/>
          <w:lang w:val="el-GR"/>
        </w:rPr>
        <w:t xml:space="preserve"> </w:t>
      </w:r>
      <w:r>
        <w:rPr>
          <w:b/>
          <w:bCs/>
          <w:color w:val="000000"/>
          <w:sz w:val="22"/>
          <w:szCs w:val="22"/>
          <w:u w:val="single"/>
          <w:shd w:fill="auto" w:val="clear"/>
          <w:lang w:val="el-GR"/>
        </w:rPr>
        <w:t>Εγγύηση καλής εκτέλεσης</w:t>
      </w:r>
    </w:p>
    <w:p>
      <w:pPr>
        <w:pStyle w:val="Style19"/>
        <w:spacing w:before="0" w:after="0"/>
        <w:jc w:val="both"/>
        <w:rPr>
          <w:sz w:val="22"/>
          <w:szCs w:val="22"/>
        </w:rPr>
      </w:pPr>
      <w:r>
        <w:rPr>
          <w:rFonts w:cs="Calibri"/>
          <w:sz w:val="22"/>
          <w:szCs w:val="22"/>
          <w:shd w:fill="auto" w:val="clear"/>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Ο χρόνος ισχύος της εγγύησης καλής εκτέλεσης πρέπει να είναι μεγαλύτερος από τον συμβατικό χρόνο για διάστημα </w:t>
      </w:r>
      <w:r>
        <w:rPr>
          <w:rFonts w:eastAsia="Times New Roman" w:cs="Calibri"/>
          <w:i w:val="false"/>
          <w:iCs w:val="false"/>
          <w:color w:val="000000"/>
          <w:spacing w:val="5"/>
          <w:sz w:val="22"/>
          <w:szCs w:val="22"/>
          <w:shd w:fill="auto" w:val="clear"/>
          <w:lang w:val="el-GR" w:eastAsia="zh-CN" w:bidi="ar-SA"/>
        </w:rPr>
        <w:t xml:space="preserve">ενός (1) μηνός </w:t>
      </w:r>
    </w:p>
    <w:p>
      <w:pPr>
        <w:pStyle w:val="Style19"/>
        <w:spacing w:before="0" w:after="0"/>
        <w:jc w:val="both"/>
        <w:rPr>
          <w:rFonts w:eastAsia="Times New Roman" w:cs="Calibri"/>
          <w:i w:val="false"/>
          <w:i w:val="false"/>
          <w:iCs w:val="false"/>
          <w:color w:val="auto"/>
          <w:spacing w:val="5"/>
          <w:sz w:val="22"/>
          <w:szCs w:val="22"/>
          <w:lang w:val="el-GR" w:eastAsia="zh-CN" w:bidi="ar-SA"/>
        </w:rPr>
      </w:pPr>
      <w:r>
        <w:rPr>
          <w:rFonts w:eastAsia="Times New Roman" w:cs="Calibri"/>
          <w:i w:val="false"/>
          <w:iCs w:val="false"/>
          <w:color w:val="auto"/>
          <w:spacing w:val="5"/>
          <w:sz w:val="22"/>
          <w:szCs w:val="22"/>
          <w:lang w:val="el-GR" w:eastAsia="zh-CN" w:bidi="ar-SA"/>
        </w:rPr>
      </w:r>
    </w:p>
    <w:p>
      <w:pPr>
        <w:pStyle w:val="Default"/>
        <w:tabs>
          <w:tab w:val="clear" w:pos="720"/>
          <w:tab w:val="left" w:pos="851" w:leader="none"/>
          <w:tab w:val="left" w:pos="1134" w:leader="none"/>
        </w:tabs>
        <w:spacing w:lineRule="auto" w:line="276"/>
        <w:jc w:val="both"/>
        <w:rPr>
          <w:sz w:val="22"/>
          <w:szCs w:val="22"/>
        </w:rPr>
      </w:pPr>
      <w:r>
        <w:rPr>
          <w:rFonts w:cs="Calibri" w:cstheme="minorHAnsi"/>
          <w:b/>
          <w:bCs/>
          <w:sz w:val="22"/>
          <w:szCs w:val="22"/>
          <w:shd w:fill="auto" w:val="clear"/>
        </w:rPr>
        <w:t>8.</w:t>
      </w:r>
      <w:r>
        <w:rPr>
          <w:rFonts w:cs="Calibri" w:cstheme="minorHAnsi"/>
          <w:sz w:val="22"/>
          <w:szCs w:val="22"/>
          <w:shd w:fill="auto" w:val="clear"/>
        </w:rPr>
        <w:t xml:space="preserve"> </w:t>
      </w:r>
      <w:r>
        <w:rPr>
          <w:rFonts w:cs="Calibri" w:cstheme="minorHAnsi"/>
          <w:b/>
          <w:bCs/>
          <w:sz w:val="22"/>
          <w:szCs w:val="22"/>
          <w:shd w:fill="auto" w:val="clear"/>
        </w:rPr>
        <w:t>Χρόνος και τρόπος εκτέλεσης</w:t>
      </w:r>
    </w:p>
    <w:p>
      <w:pPr>
        <w:pStyle w:val="Default"/>
        <w:tabs>
          <w:tab w:val="clear" w:pos="720"/>
          <w:tab w:val="left" w:pos="851" w:leader="none"/>
          <w:tab w:val="left" w:pos="1134" w:leader="none"/>
        </w:tabs>
        <w:spacing w:lineRule="auto" w:line="276"/>
        <w:jc w:val="both"/>
        <w:rPr>
          <w:sz w:val="22"/>
          <w:szCs w:val="22"/>
        </w:rPr>
      </w:pPr>
      <w:r>
        <w:rPr>
          <w:rFonts w:cs="Calibri" w:cstheme="minorHAnsi"/>
          <w:b/>
          <w:bCs/>
          <w:sz w:val="22"/>
          <w:szCs w:val="22"/>
          <w:shd w:fill="auto" w:val="clear"/>
        </w:rPr>
        <w:t>8.1.1 Χρόνος παράδοσης</w:t>
      </w:r>
    </w:p>
    <w:p>
      <w:pPr>
        <w:pStyle w:val="Normal"/>
        <w:bidi w:val="0"/>
        <w:jc w:val="both"/>
        <w:rPr>
          <w:sz w:val="22"/>
          <w:szCs w:val="22"/>
        </w:rPr>
      </w:pPr>
      <w:r>
        <w:rPr>
          <w:rFonts w:cs="Calibri"/>
          <w:sz w:val="22"/>
          <w:szCs w:val="22"/>
          <w:lang w:eastAsia="el-GR" w:bidi="ar-SA"/>
        </w:rPr>
        <w:t>Ο ανάδοχος υποχρεούται να παραδώσει με ευθύνη και έξοδα δικά του, τους συνοδούς εξοπλισμούς (αναλυτές)</w:t>
      </w:r>
      <w:r>
        <w:rPr>
          <w:rFonts w:cs="Calibri"/>
          <w:sz w:val="22"/>
          <w:szCs w:val="22"/>
          <w:lang w:val="el-GR" w:eastAsia="el-GR" w:bidi="ar-SA"/>
        </w:rPr>
        <w:t xml:space="preserve"> δωρεάν εντό</w:t>
      </w:r>
      <w:r>
        <w:rPr>
          <w:rFonts w:cs="Calibri"/>
          <w:sz w:val="22"/>
          <w:szCs w:val="22"/>
          <w:shd w:fill="auto" w:val="clear"/>
          <w:lang w:val="el-GR" w:eastAsia="el-GR" w:bidi="ar-SA"/>
        </w:rPr>
        <w:t>ς</w:t>
      </w:r>
      <w:r>
        <w:rPr>
          <w:rFonts w:cs="Calibri"/>
          <w:sz w:val="22"/>
          <w:szCs w:val="22"/>
          <w:shd w:fill="auto" w:val="clear"/>
          <w:lang w:eastAsia="el-GR" w:bidi="ar-SA"/>
        </w:rPr>
        <w:t xml:space="preserve"> </w:t>
      </w:r>
      <w:r>
        <w:rPr>
          <w:rFonts w:cs="Calibri"/>
          <w:b/>
          <w:bCs/>
          <w:sz w:val="22"/>
          <w:szCs w:val="22"/>
          <w:shd w:fill="auto" w:val="clear"/>
          <w:lang w:eastAsia="el-GR" w:bidi="ar-SA"/>
        </w:rPr>
        <w:t>τριάντα (30) ημ</w:t>
      </w:r>
      <w:r>
        <w:rPr>
          <w:rFonts w:cs="Calibri"/>
          <w:b/>
          <w:bCs/>
          <w:sz w:val="22"/>
          <w:szCs w:val="22"/>
          <w:lang w:eastAsia="el-GR" w:bidi="ar-SA"/>
        </w:rPr>
        <w:t>ερών</w:t>
      </w:r>
      <w:r>
        <w:rPr>
          <w:rFonts w:cs="Calibri"/>
          <w:sz w:val="22"/>
          <w:szCs w:val="22"/>
          <w:lang w:eastAsia="el-GR" w:bidi="ar-SA"/>
        </w:rPr>
        <w:t xml:space="preserve">  από την ημερομηνία υπογραφής της σχετικής σύμβασης.</w:t>
      </w:r>
    </w:p>
    <w:p>
      <w:pPr>
        <w:pStyle w:val="Standard"/>
        <w:bidi w:val="0"/>
        <w:jc w:val="both"/>
        <w:rPr>
          <w:sz w:val="22"/>
          <w:szCs w:val="22"/>
        </w:rPr>
      </w:pPr>
      <w:r>
        <w:rPr>
          <w:rFonts w:cs="Calibri" w:ascii="Calibri" w:hAnsi="Calibri"/>
          <w:sz w:val="22"/>
          <w:szCs w:val="22"/>
          <w:lang w:eastAsia="el-GR" w:bidi="ar-SA"/>
        </w:rPr>
        <w:t xml:space="preserve">Ο ανάδοχος υποχρεούται να παραδίδει μέσα σε </w:t>
      </w:r>
      <w:r>
        <w:rPr>
          <w:rFonts w:cs="Calibri" w:ascii="Calibri" w:hAnsi="Calibri"/>
          <w:b/>
          <w:bCs/>
          <w:sz w:val="22"/>
          <w:szCs w:val="22"/>
          <w:shd w:fill="auto" w:val="clear"/>
          <w:lang w:eastAsia="el-GR" w:bidi="ar-SA"/>
        </w:rPr>
        <w:t>τρεις (3) εργάσιμες</w:t>
      </w:r>
      <w:r>
        <w:rPr>
          <w:rFonts w:cs="Calibri" w:ascii="Calibri" w:hAnsi="Calibri"/>
          <w:b/>
          <w:bCs/>
          <w:sz w:val="22"/>
          <w:szCs w:val="22"/>
          <w:lang w:eastAsia="el-GR" w:bidi="ar-SA"/>
        </w:rPr>
        <w:t xml:space="preserve"> ημέρες,</w:t>
      </w:r>
      <w:r>
        <w:rPr>
          <w:rFonts w:cs="Calibri" w:ascii="Calibri" w:hAnsi="Calibri"/>
          <w:sz w:val="22"/>
          <w:szCs w:val="22"/>
          <w:lang w:eastAsia="el-GR" w:bidi="ar-SA"/>
        </w:rPr>
        <w:t xml:space="preserve"> τμηματικά στο Γ.Ν. Σερρών, με ευθύνη και έξοδα δικά του, τα αντιδραστήρια- αναλώσιμα στις αντίστοιχες ποσότητες που θα παραγγελθούν εγγράφως. </w:t>
      </w:r>
    </w:p>
    <w:p>
      <w:pPr>
        <w:pStyle w:val="Style19"/>
        <w:spacing w:before="0" w:after="0"/>
        <w:jc w:val="both"/>
        <w:rPr>
          <w:sz w:val="22"/>
          <w:szCs w:val="22"/>
        </w:rPr>
      </w:pPr>
      <w:r>
        <w:rPr>
          <w:rFonts w:cs="Calibri"/>
          <w:sz w:val="22"/>
          <w:szCs w:val="22"/>
        </w:rPr>
        <w:t xml:space="preserve">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w:t>
      </w:r>
      <w:r>
        <w:rPr>
          <w:rFonts w:cs="Calibri"/>
          <w:sz w:val="22"/>
          <w:szCs w:val="22"/>
          <w:shd w:fill="auto" w:val="clear"/>
        </w:rPr>
        <w:t>Στην περίπτωση παράτασης του συμβατικού χρόνου παράδοσης, ο χρόνος παράτασης δεν συνυπολογίζεται στον συμβατικό χρόνο παράδοσης.</w:t>
      </w:r>
    </w:p>
    <w:p>
      <w:pPr>
        <w:pStyle w:val="Style19"/>
        <w:tabs>
          <w:tab w:val="clear" w:pos="720"/>
          <w:tab w:val="left" w:pos="851" w:leader="none"/>
          <w:tab w:val="left" w:pos="1134" w:leader="none"/>
        </w:tabs>
        <w:spacing w:lineRule="auto" w:line="276" w:before="0" w:after="0"/>
        <w:jc w:val="both"/>
        <w:rPr>
          <w:sz w:val="22"/>
          <w:szCs w:val="22"/>
        </w:rPr>
      </w:pPr>
      <w:r>
        <w:rPr>
          <w:rFonts w:cs="Calibri"/>
          <w:b w:val="false"/>
          <w:bCs w:val="false"/>
          <w:sz w:val="22"/>
          <w:szCs w:val="22"/>
          <w:lang w:eastAsia="ar-SA" w:bidi="ar-SA"/>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pPr>
        <w:pStyle w:val="Style19"/>
        <w:tabs>
          <w:tab w:val="clear" w:pos="720"/>
          <w:tab w:val="left" w:pos="851" w:leader="none"/>
          <w:tab w:val="left" w:pos="1134" w:leader="none"/>
        </w:tabs>
        <w:spacing w:lineRule="auto" w:line="276" w:before="0" w:after="0"/>
        <w:jc w:val="both"/>
        <w:rPr>
          <w:sz w:val="22"/>
          <w:szCs w:val="22"/>
        </w:rPr>
      </w:pPr>
      <w:r>
        <w:rPr>
          <w:sz w:val="22"/>
          <w:szCs w:val="22"/>
        </w:rPr>
      </w:r>
    </w:p>
    <w:p>
      <w:pPr>
        <w:pStyle w:val="Default"/>
        <w:tabs>
          <w:tab w:val="clear" w:pos="720"/>
          <w:tab w:val="left" w:pos="851" w:leader="none"/>
          <w:tab w:val="left" w:pos="1134" w:leader="none"/>
        </w:tabs>
        <w:spacing w:lineRule="auto" w:line="276"/>
        <w:jc w:val="both"/>
        <w:rPr>
          <w:sz w:val="22"/>
          <w:szCs w:val="22"/>
        </w:rPr>
      </w:pPr>
      <w:r>
        <w:rPr>
          <w:b/>
          <w:bCs/>
          <w:sz w:val="22"/>
          <w:szCs w:val="22"/>
        </w:rPr>
        <w:t xml:space="preserve">8.1.2. </w:t>
      </w:r>
      <w:r>
        <w:rPr>
          <w:b w:val="false"/>
          <w:bCs w:val="false"/>
          <w:sz w:val="22"/>
          <w:szCs w:val="22"/>
        </w:rPr>
        <w:t xml:space="preserve">Εάν λήξη ο συμβατικός χρόνος παράδοσης, χωρίς να υποβληθεί εγκαίρως αίτημα παράτασης ή </w:t>
      </w:r>
      <w:r>
        <w:rPr>
          <w:rFonts w:cs="Calibri"/>
          <w:b w:val="false"/>
          <w:bCs w:val="false"/>
          <w:sz w:val="22"/>
          <w:szCs w:val="22"/>
          <w:lang w:eastAsia="ar-SA" w:bidi="ar-SA"/>
        </w:rPr>
        <w:t>εάν λήξει ο παραταθείς, κατά τα ανωτέρω, χρόνος, χωρίς να παραδοθεί το υλικό, ο ανάδοχος κηρύσσεται έκπτωτος.</w:t>
      </w:r>
    </w:p>
    <w:p>
      <w:pPr>
        <w:pStyle w:val="Normal"/>
        <w:spacing w:before="0" w:after="12"/>
        <w:jc w:val="both"/>
        <w:rPr>
          <w:sz w:val="22"/>
          <w:szCs w:val="22"/>
        </w:rPr>
      </w:pPr>
      <w:r>
        <w:rPr>
          <w:rFonts w:cs="Calibri"/>
          <w:sz w:val="22"/>
          <w:szCs w:val="22"/>
          <w:lang w:eastAsia="el-GR" w:bidi="ar-SA"/>
        </w:rPr>
        <w:t>Ο ανάδοχος υποχρεούται να ειδοποιεί την Αναθέτουσα Αρχή, την αποθήκη υποδοχής των υλικών και την επιτροπή παραλαβής, για την ημερομηνία που προτίθεται να παραδώσει το υλικό, τουλάχιστον 24 ώρες νωρίτερα.</w:t>
      </w:r>
    </w:p>
    <w:p>
      <w:pPr>
        <w:pStyle w:val="Style19"/>
        <w:spacing w:before="0" w:after="12"/>
        <w:jc w:val="both"/>
        <w:rPr>
          <w:sz w:val="22"/>
          <w:szCs w:val="22"/>
        </w:rPr>
      </w:pPr>
      <w:r>
        <w:rPr>
          <w:rFonts w:cs="Calibri"/>
          <w:sz w:val="22"/>
          <w:szCs w:val="22"/>
        </w:rPr>
        <w:t xml:space="preserve">Οι συνοδοί εξοπλισμοί (αναλυτές) θα εγκατασταθούν με ευθύνη και έξοδα του αναδόχου στο χώρο που θα του υποδειχθεί. Ο ανάδοχος οφείλει να εκτελέσει πλήρως την εγκατάσταση του μηχανήματος και να το παραδώσει σε λειτουργία, με δικό του ειδικευμένο και ασφαλισμένο προσωπικό και δική του ολοκληρωτικά ευθύνη, σύμφωνα με τους κανόνες της επιστήμης, τους κανονισμούς του Ελληνικού Κράτους, τις οδηγίες και τα σχέδια του κατασκευαστικού οίκου και τις οδηγίες των αρμοδίων υπηρεσιών του Νοσοκομείου. </w:t>
      </w:r>
    </w:p>
    <w:p>
      <w:pPr>
        <w:pStyle w:val="Style19"/>
        <w:spacing w:before="0" w:after="12"/>
        <w:jc w:val="both"/>
        <w:rPr>
          <w:sz w:val="22"/>
          <w:szCs w:val="22"/>
        </w:rPr>
      </w:pPr>
      <w:r>
        <w:rPr>
          <w:rFonts w:cs="Calibri"/>
          <w:sz w:val="22"/>
          <w:szCs w:val="22"/>
        </w:rPr>
        <w:t xml:space="preserve">Ο ανάδοχος υποχρεούται να χρησιμοποιήσει αποδεδειγμένα το εξειδικευμένο προσωπικό το οποίο περιλαμβάνεται στα δικαιολογητικά της προσφοράς του. </w:t>
      </w:r>
    </w:p>
    <w:p>
      <w:pPr>
        <w:pStyle w:val="Style19"/>
        <w:spacing w:before="0" w:after="12"/>
        <w:jc w:val="both"/>
        <w:rPr>
          <w:sz w:val="22"/>
          <w:szCs w:val="22"/>
        </w:rPr>
      </w:pPr>
      <w:r>
        <w:rPr>
          <w:rFonts w:cs="Calibri"/>
          <w:sz w:val="22"/>
          <w:szCs w:val="22"/>
        </w:rPr>
        <w:t>Η Αναθέτουσα Αρχή έχει κάθε δικαίωμα να ελέγχει την συμμόρφωση του αναδόχου προς τα ανωτέρω, με σκοπό τη διασφάλιση των συμφερόντων του Δημοσίου.</w:t>
      </w:r>
    </w:p>
    <w:p>
      <w:pPr>
        <w:pStyle w:val="Style19"/>
        <w:spacing w:before="0" w:after="12"/>
        <w:jc w:val="both"/>
        <w:rPr>
          <w:sz w:val="22"/>
          <w:szCs w:val="22"/>
        </w:rPr>
      </w:pPr>
      <w:r>
        <w:rPr>
          <w:rFonts w:cs="Calibri"/>
          <w:sz w:val="22"/>
          <w:szCs w:val="22"/>
        </w:rPr>
        <w:t>Όλα τα είδη και υλικά που θα προσκομίσει ο ανάδοχος για την εγκατάσταση και λειτουργία των υπό προμήθεια μηχανημάτων, πρέπει να είναι σε άριστη λειτουργική κατάσταση, χωρίς ελαττώματα και να ικανοποιούν όλους τους όρους της σύμβασης, που καθορίζουν τον τύπο, την κατηγορία και τα υπόλοιπα χαρακτηριστικά του.</w:t>
      </w:r>
    </w:p>
    <w:p>
      <w:pPr>
        <w:pStyle w:val="Style19"/>
        <w:spacing w:before="0" w:after="12"/>
        <w:rPr>
          <w:sz w:val="22"/>
          <w:szCs w:val="22"/>
        </w:rPr>
      </w:pPr>
      <w:r>
        <w:rPr>
          <w:rFonts w:cs="Calibri"/>
          <w:sz w:val="22"/>
          <w:szCs w:val="22"/>
        </w:rPr>
        <w:t>Ο ανάδοχος υποχρεούται, να προσκομίσει πλήρες εγχειρίδιο με σαφείς οδηγίες χρήσεως λειτουργίας και συντήρησης του μητρικού κατασκευαστικού οίκου (Operation Manuals) με αναλυτική περιγραφή των αντίστοιχων πρωτοκόλλων και λειτουργιών για όλες τις αντίστοιχες εφαρμογές, μεταφρασμένο οπωσδήποτε στην Ελληνική γλώσσα.</w:t>
      </w:r>
    </w:p>
    <w:p>
      <w:pPr>
        <w:pStyle w:val="Style19"/>
        <w:spacing w:before="0" w:after="12"/>
        <w:rPr>
          <w:sz w:val="22"/>
          <w:szCs w:val="22"/>
        </w:rPr>
      </w:pPr>
      <w:r>
        <w:rPr>
          <w:rFonts w:cs="Calibri"/>
          <w:sz w:val="22"/>
          <w:szCs w:val="22"/>
        </w:rPr>
        <w:t>Τα παραδιδόμενα είδη συνοδεύονται απαραίτητα από δελτία αποστολής, αναγράφοντας τα χαρακτηριστικά στοιχεία, τον κωδικό αριθμό της σύμβασης, τους κωδικούς αριθμούς των ειδών και την ποσότητα αυτών.</w:t>
      </w:r>
    </w:p>
    <w:p>
      <w:pPr>
        <w:pStyle w:val="Style19"/>
        <w:spacing w:before="0" w:after="12"/>
        <w:rPr>
          <w:sz w:val="22"/>
          <w:szCs w:val="22"/>
        </w:rPr>
      </w:pPr>
      <w:r>
        <w:rPr>
          <w:rFonts w:cs="Calibri"/>
          <w:sz w:val="22"/>
          <w:szCs w:val="22"/>
        </w:rPr>
        <w:t>Τα προϊόντα που θα παραδίδονται θα πρέπει να φέρουν την σήμανση CE και να είναι σύμφωνα με τα πρότυπα ISO, διαφορετικά η σύμβαση δε θα ισχύει και η προμήθεια των προϊόντων θα γίνει από τον επόμενο Προμηθευτή με την πλέον συμφέρουσα από οικονομική άποψη προσφορά, με χρέωση της διαφοράς τιμής στον αρχικό μειοδότη που δεν πληροί τους όρους.</w:t>
      </w:r>
    </w:p>
    <w:p>
      <w:pPr>
        <w:pStyle w:val="Style19"/>
        <w:widowControl/>
        <w:tabs>
          <w:tab w:val="clear" w:pos="720"/>
          <w:tab w:val="left" w:pos="851" w:leader="none"/>
          <w:tab w:val="left" w:pos="1134" w:leader="none"/>
        </w:tabs>
        <w:spacing w:lineRule="auto" w:line="276" w:before="0" w:after="12"/>
        <w:jc w:val="both"/>
        <w:textAlignment w:val="auto"/>
        <w:rPr>
          <w:sz w:val="22"/>
          <w:szCs w:val="22"/>
        </w:rPr>
      </w:pPr>
      <w:r>
        <w:rPr>
          <w:rFonts w:cs="Calibri"/>
          <w:sz w:val="22"/>
          <w:szCs w:val="22"/>
          <w:lang w:eastAsia="el-GR" w:bidi="ar-SA"/>
        </w:rPr>
        <w:t>Για τα αποστειρωμένα είδη μιας χρήσης ο ανάδοχος υποχρεούται να προσκομίζει σε κάθε παράδοση, πιστοποιητικό αποστείρωσης, αναφέροντας την ημερομηνία λήξης της αποστείρωσης.</w:t>
      </w:r>
    </w:p>
    <w:p>
      <w:pPr>
        <w:pStyle w:val="Style19"/>
        <w:widowControl/>
        <w:tabs>
          <w:tab w:val="clear" w:pos="720"/>
          <w:tab w:val="left" w:pos="851" w:leader="none"/>
          <w:tab w:val="left" w:pos="1134" w:leader="none"/>
        </w:tabs>
        <w:spacing w:lineRule="auto" w:line="276" w:before="0" w:after="12"/>
        <w:jc w:val="both"/>
        <w:textAlignment w:val="auto"/>
        <w:rPr>
          <w:sz w:val="22"/>
          <w:szCs w:val="22"/>
        </w:rPr>
      </w:pPr>
      <w:r>
        <w:rPr>
          <w:sz w:val="22"/>
          <w:szCs w:val="22"/>
        </w:rPr>
      </w:r>
    </w:p>
    <w:p>
      <w:pPr>
        <w:pStyle w:val="Default"/>
        <w:tabs>
          <w:tab w:val="clear" w:pos="720"/>
          <w:tab w:val="left" w:pos="851" w:leader="none"/>
          <w:tab w:val="left" w:pos="1134" w:leader="none"/>
        </w:tabs>
        <w:spacing w:lineRule="auto" w:line="276"/>
        <w:jc w:val="both"/>
        <w:rPr>
          <w:sz w:val="22"/>
          <w:szCs w:val="22"/>
        </w:rPr>
      </w:pPr>
      <w:r>
        <w:rPr>
          <w:rFonts w:cs="Calibri"/>
          <w:b/>
          <w:bCs/>
          <w:sz w:val="22"/>
          <w:szCs w:val="22"/>
          <w:shd w:fill="auto" w:val="clear"/>
          <w:lang w:eastAsia="ar-SA" w:bidi="ar-SA"/>
        </w:rPr>
        <w:t xml:space="preserve">8.1.3 </w:t>
      </w:r>
      <w:r>
        <w:rPr>
          <w:rFonts w:cs="Calibri"/>
          <w:b w:val="false"/>
          <w:bCs w:val="false"/>
          <w:sz w:val="22"/>
          <w:szCs w:val="22"/>
          <w:shd w:fill="auto" w:val="clear"/>
          <w:lang w:eastAsia="ar-SA" w:bidi="ar-SA"/>
        </w:rPr>
        <w:t>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pPr>
        <w:pStyle w:val="Default"/>
        <w:tabs>
          <w:tab w:val="clear" w:pos="720"/>
          <w:tab w:val="left" w:pos="851" w:leader="none"/>
          <w:tab w:val="left" w:pos="1134" w:leader="none"/>
        </w:tabs>
        <w:spacing w:lineRule="auto" w:line="276"/>
        <w:jc w:val="both"/>
        <w:rPr>
          <w:rFonts w:ascii="Calibri" w:hAnsi="Calibri" w:cs="Calibri"/>
          <w:sz w:val="22"/>
          <w:szCs w:val="22"/>
          <w:lang w:eastAsia="ar-SA" w:bidi="ar-SA"/>
        </w:rPr>
      </w:pPr>
      <w:r>
        <w:rPr>
          <w:rFonts w:cs="Calibri"/>
          <w:sz w:val="22"/>
          <w:szCs w:val="22"/>
          <w:lang w:eastAsia="ar-SA" w:bidi="ar-SA"/>
        </w:rPr>
      </w:r>
    </w:p>
    <w:p>
      <w:pPr>
        <w:pStyle w:val="Default"/>
        <w:tabs>
          <w:tab w:val="clear" w:pos="720"/>
          <w:tab w:val="left" w:pos="851" w:leader="none"/>
          <w:tab w:val="left" w:pos="1134" w:leader="none"/>
        </w:tabs>
        <w:spacing w:lineRule="auto" w:line="276"/>
        <w:jc w:val="both"/>
        <w:rPr>
          <w:sz w:val="22"/>
          <w:szCs w:val="22"/>
        </w:rPr>
      </w:pPr>
      <w:r>
        <w:rPr>
          <w:b/>
          <w:bCs/>
          <w:sz w:val="22"/>
          <w:szCs w:val="22"/>
        </w:rPr>
        <w:t>8.2 Παραλαβή -χρόνος και τρόπος παράδοσης</w:t>
      </w:r>
    </w:p>
    <w:p>
      <w:pPr>
        <w:pStyle w:val="Default"/>
        <w:tabs>
          <w:tab w:val="clear" w:pos="720"/>
          <w:tab w:val="left" w:pos="851" w:leader="none"/>
          <w:tab w:val="left" w:pos="1134" w:leader="none"/>
        </w:tabs>
        <w:spacing w:lineRule="auto" w:line="276"/>
        <w:jc w:val="both"/>
        <w:rPr>
          <w:sz w:val="22"/>
          <w:szCs w:val="22"/>
        </w:rPr>
      </w:pPr>
      <w:r>
        <w:rPr>
          <w:b/>
          <w:bCs/>
          <w:sz w:val="22"/>
          <w:szCs w:val="22"/>
          <w:lang w:val="el-GR"/>
        </w:rPr>
        <w:t>8.2.1.</w:t>
      </w:r>
      <w:r>
        <w:rPr>
          <w:b w:val="false"/>
          <w:bCs w:val="false"/>
          <w:sz w:val="22"/>
          <w:szCs w:val="22"/>
          <w:lang w:val="el-GR"/>
        </w:rPr>
        <w:t xml:space="preserve"> H παραλαβή των υλικών γίνεται από επιτροπές, πρωτοβάθμιες ή και δευτεροβάθμιες, που συγκροτούνται σύμφωνα με την παρ. 11 περ. β του άρθρου 221 του ν.4412/16, σύμφωνα με τα οριζόμενα στο άρθρο 208 του ως άνω νόμου.</w:t>
      </w:r>
    </w:p>
    <w:p>
      <w:pPr>
        <w:pStyle w:val="Default"/>
        <w:tabs>
          <w:tab w:val="clear" w:pos="720"/>
          <w:tab w:val="left" w:pos="851" w:leader="none"/>
          <w:tab w:val="left" w:pos="1134" w:leader="none"/>
        </w:tabs>
        <w:spacing w:lineRule="auto" w:line="276"/>
        <w:jc w:val="both"/>
        <w:rPr>
          <w:sz w:val="22"/>
          <w:szCs w:val="22"/>
        </w:rPr>
      </w:pPr>
      <w:r>
        <w:rPr>
          <w:b/>
          <w:bCs/>
          <w:sz w:val="22"/>
          <w:szCs w:val="22"/>
          <w:lang w:val="el-GR"/>
        </w:rPr>
        <w:t xml:space="preserve">8.2.2. </w:t>
      </w:r>
      <w:r>
        <w:rPr>
          <w:rFonts w:cs="Calibri"/>
          <w:b w:val="false"/>
          <w:bCs w:val="false"/>
          <w:sz w:val="22"/>
          <w:szCs w:val="22"/>
          <w:lang w:val="el-GR" w:eastAsia="en-US"/>
        </w:rPr>
        <w:t>Η παραλαβή των συνοδών εξοπλισμών (αναλυτών) θα γίνει μετά την εγκατάσταση αυτών, σε πλήρη λειτουργία τους και αφού προηγηθούν όλοι οι απαιτούμενοι έλεγχοι, οι μετρήσεις, η επίδειξη λειτουργίας και γενικά η επαλήθευση των τεχνικών του δυνατοτήτων και χαρακτηριστικών. Για τον λόγο αυτό, μετά την πλήρη σύνδεση και εγκατάστασή των μηχανημάτων θα ακολουθήσει δοκιμαστική λειτουργία για διάστημα είκοσι (20) ημερών</w:t>
      </w:r>
      <w:r>
        <w:rPr>
          <w:rFonts w:cs="Calibri"/>
          <w:b/>
          <w:bCs w:val="false"/>
          <w:sz w:val="22"/>
          <w:szCs w:val="22"/>
          <w:lang w:val="el-GR" w:eastAsia="en-US"/>
        </w:rPr>
        <w:t>.Κατά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ειδών γίνεται με τον/τους ακόλουθους τρόπους:</w:t>
      </w:r>
    </w:p>
    <w:p>
      <w:pPr>
        <w:pStyle w:val="Normal"/>
        <w:suppressAutoHyphens w:val="false"/>
        <w:spacing w:before="0" w:after="0"/>
        <w:rPr>
          <w:sz w:val="22"/>
          <w:szCs w:val="22"/>
        </w:rPr>
      </w:pPr>
      <w:r>
        <w:rPr>
          <w:rFonts w:cs="Calibri"/>
          <w:sz w:val="22"/>
          <w:szCs w:val="22"/>
          <w:lang w:val="el-GR" w:eastAsia="en-US"/>
        </w:rPr>
        <w:t>α. Με μακροσκοπική εξέταση.</w:t>
      </w:r>
    </w:p>
    <w:p>
      <w:pPr>
        <w:pStyle w:val="Normal"/>
        <w:suppressAutoHyphens w:val="false"/>
        <w:spacing w:before="0" w:after="0"/>
        <w:rPr>
          <w:sz w:val="22"/>
          <w:szCs w:val="22"/>
        </w:rPr>
      </w:pPr>
      <w:r>
        <w:rPr>
          <w:rFonts w:cs="Calibri"/>
          <w:sz w:val="22"/>
          <w:szCs w:val="22"/>
          <w:lang w:val="el-GR" w:eastAsia="en-US"/>
        </w:rPr>
        <w:t>β. Με χημική ή μηχανική εξέταση (εργαστηριακή εξέταση).</w:t>
      </w:r>
    </w:p>
    <w:p>
      <w:pPr>
        <w:pStyle w:val="Normal"/>
        <w:suppressAutoHyphens w:val="false"/>
        <w:spacing w:before="0" w:after="0"/>
        <w:rPr>
          <w:sz w:val="22"/>
          <w:szCs w:val="22"/>
        </w:rPr>
      </w:pPr>
      <w:r>
        <w:rPr>
          <w:rFonts w:cs="Calibri"/>
          <w:sz w:val="22"/>
          <w:szCs w:val="22"/>
          <w:lang w:val="el-GR" w:eastAsia="en-US"/>
        </w:rPr>
        <w:t>γ. Με πρακτική δοκιμασία</w:t>
      </w:r>
    </w:p>
    <w:p>
      <w:pPr>
        <w:pStyle w:val="Normal"/>
        <w:suppressAutoHyphens w:val="false"/>
        <w:spacing w:before="0" w:after="0"/>
        <w:rPr>
          <w:sz w:val="22"/>
          <w:szCs w:val="22"/>
        </w:rPr>
      </w:pPr>
      <w:r>
        <w:rPr>
          <w:rFonts w:cs="Calibri"/>
          <w:sz w:val="22"/>
          <w:szCs w:val="22"/>
          <w:lang w:val="el-GR" w:eastAsia="en-US"/>
        </w:rPr>
        <w:t>δ. Με όλους ή με όσους από τους παραπάνω τρόπους χρειάζεται, ανάλογα με το προς προμήθεια είδος ή και με οποιοδήποτε άλλο ενδεικνυόμενο τρόπο, κατά την κρίση της Επιτροπής παραλαβής.</w:t>
      </w:r>
    </w:p>
    <w:p>
      <w:pPr>
        <w:pStyle w:val="Normal"/>
        <w:spacing w:before="0" w:after="0"/>
        <w:rPr>
          <w:sz w:val="22"/>
          <w:szCs w:val="22"/>
        </w:rPr>
      </w:pPr>
      <w:r>
        <w:rPr>
          <w:rFonts w:cs="Calibri"/>
          <w:sz w:val="22"/>
          <w:szCs w:val="22"/>
          <w:lang w:val="el-GR"/>
        </w:rPr>
        <w:t>Το κόστος της διενέργειας των ελέγχων βαρύνει τον ανάδοχο.</w:t>
      </w:r>
    </w:p>
    <w:p>
      <w:pPr>
        <w:pStyle w:val="Normal"/>
        <w:widowControl w:val="false"/>
        <w:suppressAutoHyphens w:val="false"/>
        <w:spacing w:before="0" w:after="0"/>
        <w:ind w:left="0" w:right="-57" w:hanging="0"/>
        <w:rPr>
          <w:sz w:val="22"/>
          <w:szCs w:val="22"/>
        </w:rPr>
      </w:pPr>
      <w:r>
        <w:rPr>
          <w:rFonts w:cs="Calibri"/>
          <w:sz w:val="22"/>
          <w:szCs w:val="22"/>
          <w:lang w:val="el-GR" w:eastAsia="en-US"/>
        </w:rPr>
        <w:t xml:space="preserve">Τα είδη που θα προσκομισθούν πρέπει να είναι τα ίδια με τα προσφερθέντα, όπως αυτά που περιγράφονται στην προσφορά και στα προσπέκτους.               </w:t>
      </w:r>
    </w:p>
    <w:p>
      <w:pPr>
        <w:pStyle w:val="Normal"/>
        <w:spacing w:before="0" w:after="0"/>
        <w:jc w:val="both"/>
        <w:rPr>
          <w:sz w:val="22"/>
          <w:szCs w:val="22"/>
        </w:rPr>
      </w:pPr>
      <w:r>
        <w:rPr>
          <w:rFonts w:cs="Calibri"/>
          <w:sz w:val="22"/>
          <w:szCs w:val="22"/>
          <w:lang w:val="el-GR"/>
        </w:rPr>
        <w:t>Η επιτροπή παραλαβής, μετά τους προβλεπόμενους ελέγχους συντάσσει πρωτόκολλα (μακροσκοπικό – οριστικό- παραλαβής του υλικού με παρατηρήσει –απόρριψης των υλικών) σύμφωνα με την παρ.3 του άρθρου 208 του ν. 4412/16.</w:t>
      </w:r>
    </w:p>
    <w:p>
      <w:pPr>
        <w:pStyle w:val="Normalwithoutspacing"/>
        <w:spacing w:before="0" w:after="0"/>
        <w:rPr>
          <w:sz w:val="22"/>
          <w:szCs w:val="22"/>
        </w:rPr>
      </w:pPr>
      <w:r>
        <w:rPr>
          <w:rFonts w:cs="Calibri"/>
          <w:sz w:val="22"/>
          <w:szCs w:val="22"/>
        </w:rPr>
        <w:t>Τα πρωτόκολλα που συντάσσονται από τις επιτροπές (πρωτοβάθμιες–δευτεροβάθμιες) κοινοποιούνται υποχρεωτικά και στους αναδόχους. Το Νοσοκομείο διατηρεί το δικαίωμα να προβεί σε δειγματοληπτικό έλεγχο με εργαστηριακά δεδομένα όλων των παρτίδων των προϊόντων, τόσο κατά την οριστική παραλαβή όσο και κατά τη διάρκεια χρήσεως, μετά από σχετική αναφορά της Διευθύντριας του Εργαστηρίου, αρκούντος τεκμηριωμένη.</w:t>
      </w:r>
    </w:p>
    <w:p>
      <w:pPr>
        <w:pStyle w:val="Normal"/>
        <w:spacing w:before="0" w:after="0"/>
        <w:jc w:val="both"/>
        <w:rPr>
          <w:sz w:val="22"/>
          <w:szCs w:val="22"/>
        </w:rPr>
      </w:pPr>
      <w:r>
        <w:rPr>
          <w:rFonts w:cs="Calibri"/>
          <w:sz w:val="22"/>
          <w:szCs w:val="22"/>
          <w:lang w:val="el-GR"/>
        </w:rP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pPr>
        <w:pStyle w:val="Normal"/>
        <w:spacing w:before="0" w:after="0"/>
        <w:jc w:val="both"/>
        <w:rPr>
          <w:sz w:val="22"/>
          <w:szCs w:val="22"/>
        </w:rPr>
      </w:pPr>
      <w:r>
        <w:rPr>
          <w:rFonts w:cs="Calibri"/>
          <w:sz w:val="22"/>
          <w:szCs w:val="22"/>
          <w:lang w:val="el-GR"/>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pPr>
        <w:pStyle w:val="Normal"/>
        <w:spacing w:before="0" w:after="0"/>
        <w:rPr>
          <w:sz w:val="22"/>
          <w:szCs w:val="22"/>
        </w:rPr>
      </w:pPr>
      <w:r>
        <w:rPr>
          <w:rFonts w:cs="Calibri"/>
          <w:sz w:val="22"/>
          <w:szCs w:val="22"/>
          <w:lang w:val="el-GR"/>
        </w:rPr>
        <w:t>Το αποτέλεσμα της κατ’ έφεση εξέτασης είναι υποχρεωτικό και τελεσίδικο και για τα δύο μέρη.</w:t>
      </w:r>
    </w:p>
    <w:p>
      <w:pPr>
        <w:pStyle w:val="Default"/>
        <w:tabs>
          <w:tab w:val="clear" w:pos="720"/>
          <w:tab w:val="left" w:pos="851" w:leader="none"/>
          <w:tab w:val="left" w:pos="1134" w:leader="none"/>
        </w:tabs>
        <w:spacing w:lineRule="auto" w:line="276"/>
        <w:jc w:val="both"/>
        <w:rPr>
          <w:sz w:val="22"/>
          <w:szCs w:val="22"/>
        </w:rPr>
      </w:pPr>
      <w:r>
        <w:rPr>
          <w:rFonts w:cs="Calibri"/>
          <w:b/>
          <w:bCs w:val="false"/>
          <w:sz w:val="22"/>
          <w:szCs w:val="22"/>
          <w:lang w:val="el-GR" w:eastAsia="en-US"/>
        </w:rPr>
        <w:t>Ο ανάδοχος δεν μπορεί να ζητήσει παραπομπή σε δευτεροβάθμια επιτροπή παραλαβής μετά τα αποτελέσματα της κατ’ έφεση εξέτασης.</w:t>
      </w:r>
    </w:p>
    <w:p>
      <w:pPr>
        <w:pStyle w:val="Normal"/>
        <w:spacing w:before="0" w:after="0"/>
        <w:jc w:val="both"/>
        <w:rPr>
          <w:sz w:val="22"/>
          <w:szCs w:val="22"/>
        </w:rPr>
      </w:pPr>
      <w:r>
        <w:rPr>
          <w:rFonts w:cs="Calibri"/>
          <w:b/>
          <w:bCs/>
          <w:sz w:val="22"/>
          <w:szCs w:val="22"/>
          <w:lang w:val="el-GR" w:eastAsia="en-US"/>
        </w:rPr>
        <w:t>8.2.3.</w:t>
      </w:r>
      <w:r>
        <w:rPr>
          <w:rFonts w:cs="Calibri"/>
          <w:sz w:val="22"/>
          <w:szCs w:val="22"/>
          <w:lang w:val="el-GR" w:eastAsia="en-US"/>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pPr>
        <w:pStyle w:val="Normal"/>
        <w:spacing w:before="0" w:after="0"/>
        <w:jc w:val="both"/>
        <w:rPr>
          <w:sz w:val="22"/>
          <w:szCs w:val="22"/>
        </w:rPr>
      </w:pPr>
      <w:r>
        <w:rPr>
          <w:rFonts w:cs="Calibri"/>
          <w:sz w:val="22"/>
          <w:szCs w:val="22"/>
          <w:lang w:val="el-GR" w:eastAsia="en-US"/>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pPr>
        <w:pStyle w:val="Normal"/>
        <w:spacing w:before="0" w:after="0"/>
        <w:jc w:val="both"/>
        <w:rPr>
          <w:sz w:val="22"/>
          <w:szCs w:val="22"/>
        </w:rPr>
      </w:pPr>
      <w:r>
        <w:rPr>
          <w:sz w:val="22"/>
          <w:szCs w:val="22"/>
        </w:rPr>
      </w:r>
    </w:p>
    <w:p>
      <w:pPr>
        <w:pStyle w:val="Normal"/>
        <w:spacing w:before="0" w:after="0"/>
        <w:jc w:val="both"/>
        <w:rPr>
          <w:sz w:val="22"/>
          <w:szCs w:val="22"/>
        </w:rPr>
      </w:pPr>
      <w:r>
        <w:rPr>
          <w:sz w:val="22"/>
          <w:szCs w:val="22"/>
        </w:rPr>
      </w:r>
    </w:p>
    <w:p>
      <w:pPr>
        <w:pStyle w:val="Normal"/>
        <w:spacing w:before="0" w:after="0"/>
        <w:jc w:val="both"/>
        <w:rPr>
          <w:sz w:val="22"/>
          <w:szCs w:val="22"/>
        </w:rPr>
      </w:pPr>
      <w:r>
        <w:rPr>
          <w:sz w:val="22"/>
          <w:szCs w:val="22"/>
        </w:rPr>
      </w:r>
    </w:p>
    <w:p>
      <w:pPr>
        <w:pStyle w:val="Default"/>
        <w:tabs>
          <w:tab w:val="clear" w:pos="720"/>
          <w:tab w:val="left" w:pos="851" w:leader="none"/>
          <w:tab w:val="left" w:pos="1134" w:leader="none"/>
        </w:tabs>
        <w:spacing w:before="240" w:after="27"/>
        <w:jc w:val="both"/>
        <w:rPr>
          <w:sz w:val="22"/>
          <w:szCs w:val="22"/>
        </w:rPr>
      </w:pPr>
      <w:r>
        <w:rPr>
          <w:b/>
          <w:sz w:val="22"/>
          <w:szCs w:val="22"/>
        </w:rPr>
        <w:t>9. Τροποποίηση σύμβασης κατά τη διάρκειά της.</w:t>
      </w:r>
    </w:p>
    <w:p>
      <w:pPr>
        <w:pStyle w:val="Normal"/>
        <w:spacing w:before="0" w:after="0"/>
        <w:jc w:val="both"/>
        <w:rPr>
          <w:sz w:val="22"/>
          <w:szCs w:val="22"/>
        </w:rPr>
      </w:pPr>
      <w:r>
        <w:rPr>
          <w:rFonts w:cs="Calibri" w:cstheme="minorHAnsi"/>
          <w:color w:val="000000"/>
          <w:sz w:val="22"/>
          <w:szCs w:val="22"/>
          <w:lang w:eastAsia="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pPr>
        <w:pStyle w:val="Default"/>
        <w:tabs>
          <w:tab w:val="clear" w:pos="720"/>
          <w:tab w:val="left" w:pos="851" w:leader="none"/>
          <w:tab w:val="left" w:pos="1134" w:leader="none"/>
        </w:tabs>
        <w:spacing w:before="240" w:after="27"/>
        <w:jc w:val="both"/>
        <w:rPr>
          <w:sz w:val="22"/>
          <w:szCs w:val="22"/>
        </w:rPr>
      </w:pPr>
      <w:r>
        <w:rPr>
          <w:rFonts w:cs="Calibri" w:cstheme="minorHAnsi"/>
          <w:b/>
          <w:bCs/>
          <w:i w:val="false"/>
          <w:iCs w:val="false"/>
          <w:sz w:val="22"/>
          <w:szCs w:val="22"/>
        </w:rPr>
        <w:t>10. Πληρωμή αναδόχου</w:t>
      </w:r>
    </w:p>
    <w:p>
      <w:pPr>
        <w:pStyle w:val="Style19"/>
        <w:spacing w:before="0" w:after="0"/>
        <w:jc w:val="both"/>
        <w:rPr>
          <w:sz w:val="22"/>
          <w:szCs w:val="22"/>
        </w:rPr>
      </w:pPr>
      <w:r>
        <w:rPr>
          <w:b/>
          <w:bCs/>
          <w:i w:val="false"/>
          <w:iCs w:val="false"/>
          <w:sz w:val="22"/>
          <w:szCs w:val="22"/>
          <w:lang w:val="el-GR"/>
        </w:rPr>
        <w:t>10.1.1.</w:t>
      </w:r>
      <w:r>
        <w:rPr>
          <w:b/>
          <w:i w:val="false"/>
          <w:iCs w:val="false"/>
          <w:color w:val="5B9BD5"/>
          <w:spacing w:val="5"/>
          <w:kern w:val="2"/>
          <w:sz w:val="22"/>
          <w:szCs w:val="22"/>
          <w:lang w:val="el-GR"/>
        </w:rPr>
        <w:t xml:space="preserve"> </w:t>
      </w:r>
      <w:r>
        <w:rPr>
          <w:b w:val="false"/>
          <w:bCs w:val="false"/>
          <w:i w:val="false"/>
          <w:iCs w:val="false"/>
          <w:color w:val="000000"/>
          <w:spacing w:val="5"/>
          <w:kern w:val="2"/>
          <w:sz w:val="22"/>
          <w:szCs w:val="22"/>
          <w:lang w:val="el-GR"/>
        </w:rPr>
        <w:t>Η πληρωμή του συμβατικού τιμήματος θα γίνεται τμηματικά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p>
    <w:p>
      <w:pPr>
        <w:pStyle w:val="Style19"/>
        <w:spacing w:before="0" w:after="0"/>
        <w:jc w:val="both"/>
        <w:rPr>
          <w:sz w:val="22"/>
          <w:szCs w:val="22"/>
        </w:rPr>
      </w:pPr>
      <w:r>
        <w:rPr>
          <w:b/>
          <w:bCs/>
          <w:i w:val="false"/>
          <w:iCs w:val="false"/>
          <w:color w:val="auto"/>
          <w:sz w:val="22"/>
          <w:szCs w:val="22"/>
          <w:lang w:val="el-GR"/>
        </w:rPr>
        <w:t>10.1.2.</w:t>
      </w:r>
      <w:r>
        <w:rPr>
          <w:b w:val="false"/>
          <w:bCs w:val="false"/>
          <w:i w:val="false"/>
          <w:iCs w:val="false"/>
          <w:color w:val="auto"/>
          <w:sz w:val="22"/>
          <w:szCs w:val="22"/>
          <w:lang w:val="el-GR"/>
        </w:rPr>
        <w:t xml:space="preserve"> Toν Ανάδοχο</w:t>
      </w:r>
      <w:r>
        <w:rPr>
          <w:b w:val="false"/>
          <w:bCs w:val="false"/>
          <w:i w:val="false"/>
          <w:iCs w:val="false"/>
          <w:color w:val="auto"/>
          <w:sz w:val="22"/>
          <w:szCs w:val="22"/>
          <w:u w:val="none"/>
          <w:lang w:val="el-GR"/>
        </w:rPr>
        <w:t xml:space="preserve"> βαρύνουν </w:t>
      </w:r>
      <w:r>
        <w:rPr>
          <w:b w:val="false"/>
          <w:bCs w:val="false"/>
          <w:i w:val="false"/>
          <w:iCs w:val="false"/>
          <w:color w:val="auto"/>
          <w:sz w:val="22"/>
          <w:szCs w:val="22"/>
          <w:u w:val="none"/>
          <w:lang w:val="el-GR" w:eastAsia="el-GR"/>
        </w:rPr>
        <w:t>οι υπέρ</w:t>
      </w:r>
      <w:r>
        <w:rPr>
          <w:b w:val="false"/>
          <w:bCs w:val="false"/>
          <w:i w:val="false"/>
          <w:iCs w:val="false"/>
          <w:color w:val="auto"/>
          <w:sz w:val="22"/>
          <w:szCs w:val="22"/>
          <w:lang w:val="el-GR" w:eastAsia="el-GR"/>
        </w:rPr>
        <w:t xml:space="preserve"> τρί</w:t>
      </w:r>
      <w:r>
        <w:rPr>
          <w:i w:val="false"/>
          <w:iCs w:val="false"/>
          <w:sz w:val="22"/>
          <w:szCs w:val="22"/>
          <w:lang w:val="el-GR" w:eastAsia="el-GR"/>
        </w:rPr>
        <w:t xml:space="preserve">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Pr>
          <w:i w:val="false"/>
          <w:iCs w:val="false"/>
          <w:sz w:val="22"/>
          <w:szCs w:val="22"/>
          <w:lang w:val="el-GR"/>
        </w:rPr>
        <w:t xml:space="preserve">ακόλουθες κρατήσεις: </w:t>
      </w:r>
    </w:p>
    <w:p>
      <w:pPr>
        <w:pStyle w:val="Style19"/>
        <w:spacing w:before="0" w:after="0"/>
        <w:jc w:val="both"/>
        <w:rPr/>
      </w:pPr>
      <w:r>
        <w:rPr>
          <w:b/>
          <w:bCs/>
          <w:i w:val="false"/>
          <w:iCs w:val="false"/>
          <w:sz w:val="22"/>
          <w:szCs w:val="22"/>
          <w:shd w:fill="auto" w:val="clear"/>
          <w:lang w:val="el-GR"/>
        </w:rPr>
        <w:t>α) Κράτηση 0,07%</w:t>
      </w:r>
      <w:r>
        <w:rPr>
          <w:i w:val="false"/>
          <w:iCs w:val="false"/>
          <w:sz w:val="22"/>
          <w:szCs w:val="22"/>
          <w:shd w:fill="auto" w:val="clear"/>
          <w:lang w:val="el-GR"/>
        </w:rPr>
        <w:t xml:space="preserve">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r>
        <w:rPr>
          <w:rStyle w:val="WWFootnoteReference18"/>
          <w:i w:val="false"/>
          <w:iCs w:val="false"/>
          <w:sz w:val="22"/>
          <w:szCs w:val="22"/>
          <w:shd w:fill="auto" w:val="clear"/>
          <w:lang w:val="el-GR"/>
        </w:rPr>
        <w:t xml:space="preserve"> </w:t>
      </w:r>
    </w:p>
    <w:p>
      <w:pPr>
        <w:pStyle w:val="Style19"/>
        <w:spacing w:before="0" w:after="0"/>
        <w:jc w:val="both"/>
        <w:rPr>
          <w:sz w:val="22"/>
          <w:szCs w:val="22"/>
        </w:rPr>
      </w:pPr>
      <w:r>
        <w:rPr>
          <w:b/>
          <w:bCs/>
          <w:i w:val="false"/>
          <w:iCs w:val="false"/>
          <w:sz w:val="22"/>
          <w:szCs w:val="22"/>
        </w:rPr>
        <w:t>β) Κράτηση ύψους 0,02%</w:t>
      </w:r>
      <w:r>
        <w:rPr>
          <w:i w:val="false"/>
          <w:iCs w:val="false"/>
          <w:sz w:val="22"/>
          <w:szCs w:val="22"/>
        </w:rPr>
        <w:t xml:space="preserve">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pPr>
        <w:pStyle w:val="Style19"/>
        <w:spacing w:before="0" w:after="0"/>
        <w:jc w:val="both"/>
        <w:rPr>
          <w:sz w:val="22"/>
          <w:szCs w:val="22"/>
        </w:rPr>
      </w:pPr>
      <w:r>
        <w:rPr>
          <w:b/>
          <w:bCs/>
          <w:i w:val="false"/>
          <w:iCs w:val="false"/>
          <w:sz w:val="22"/>
          <w:szCs w:val="22"/>
        </w:rPr>
        <w:t>γ) Κράτηση 0,06%</w:t>
      </w:r>
      <w:r>
        <w:rPr>
          <w:i w:val="false"/>
          <w:iCs w:val="false"/>
          <w:sz w:val="22"/>
          <w:szCs w:val="22"/>
        </w:rPr>
        <w:t xml:space="preserve"> η οποία υπολογίζεται επί της αξίας κάθε πληρωμής προ φόρων και κρατήσεων της αρχικής καθώς και κάθε συμπληρωματικής σύμβασης υπέρ της Αρχής Εξέτασης Προδικαστικών Προσφυγών (άρθρο 350 παρ. 3 του ν. 4412/2016) </w:t>
      </w:r>
    </w:p>
    <w:p>
      <w:pPr>
        <w:pStyle w:val="Style19"/>
        <w:spacing w:before="0" w:after="0"/>
        <w:jc w:val="both"/>
        <w:rPr/>
      </w:pPr>
      <w:r>
        <w:rPr>
          <w:rFonts w:eastAsia="Times New Roman" w:cs="Calibri"/>
          <w:b/>
          <w:i w:val="false"/>
          <w:iCs w:val="false"/>
          <w:color w:val="auto"/>
          <w:sz w:val="22"/>
          <w:szCs w:val="22"/>
          <w:lang w:val="en-GB" w:eastAsia="zh-CN" w:bidi="ar-SA"/>
        </w:rPr>
        <w:t>δ)</w:t>
      </w:r>
      <w:r>
        <w:rPr>
          <w:rFonts w:eastAsia="Times New Roman" w:cs="Calibri"/>
          <w:i w:val="false"/>
          <w:iCs w:val="false"/>
          <w:color w:val="auto"/>
          <w:sz w:val="22"/>
          <w:szCs w:val="22"/>
          <w:lang w:val="en-GB" w:eastAsia="zh-CN" w:bidi="ar-SA"/>
        </w:rPr>
        <w:t xml:space="preserve"> </w:t>
      </w:r>
      <w:r>
        <w:rPr>
          <w:rFonts w:eastAsia="Times New Roman" w:cs="Calibri"/>
          <w:b/>
          <w:i w:val="false"/>
          <w:iCs w:val="false"/>
          <w:color w:val="auto"/>
          <w:sz w:val="22"/>
          <w:szCs w:val="22"/>
          <w:lang w:val="en-GB" w:eastAsia="zh-CN" w:bidi="ar-SA"/>
        </w:rPr>
        <w:t>Κράτηση</w:t>
      </w:r>
      <w:r>
        <w:rPr>
          <w:rFonts w:eastAsia="Times New Roman" w:cs="Calibri"/>
          <w:i w:val="false"/>
          <w:iCs w:val="false"/>
          <w:color w:val="auto"/>
          <w:sz w:val="22"/>
          <w:szCs w:val="22"/>
          <w:lang w:val="en-GB" w:eastAsia="zh-CN" w:bidi="ar-SA"/>
        </w:rPr>
        <w:t xml:space="preserve"> </w:t>
      </w:r>
      <w:r>
        <w:rPr>
          <w:rFonts w:eastAsia="Times New Roman" w:cs="Calibri"/>
          <w:b/>
          <w:i w:val="false"/>
          <w:iCs w:val="false"/>
          <w:color w:val="auto"/>
          <w:sz w:val="22"/>
          <w:szCs w:val="22"/>
          <w:lang w:val="en-GB" w:eastAsia="zh-CN" w:bidi="ar-SA"/>
        </w:rPr>
        <w:t>2%</w:t>
      </w:r>
      <w:r>
        <w:rPr>
          <w:rFonts w:eastAsia="Times New Roman" w:cs="Calibri"/>
          <w:i w:val="false"/>
          <w:iCs w:val="false"/>
          <w:color w:val="auto"/>
          <w:sz w:val="22"/>
          <w:szCs w:val="22"/>
          <w:lang w:val="en-GB" w:eastAsia="zh-CN" w:bidi="ar-SA"/>
        </w:rPr>
        <w:t xml:space="preserve"> υπέρ των Οργανισμών Ψυχικής Υγείας</w:t>
      </w:r>
      <w:r>
        <w:rPr>
          <w:rStyle w:val="WW8Num1z0"/>
          <w:rFonts w:eastAsia="Times New Roman" w:cs="Calibri"/>
          <w:i w:val="false"/>
          <w:iCs w:val="false"/>
          <w:color w:val="auto"/>
          <w:sz w:val="22"/>
          <w:szCs w:val="22"/>
          <w:lang w:val="en-GB" w:eastAsia="zh-CN" w:bidi="ar-SA"/>
        </w:rPr>
        <w:t xml:space="preserve"> </w:t>
      </w:r>
      <w:r>
        <w:rPr>
          <w:rStyle w:val="Markedcontent"/>
          <w:rFonts w:eastAsia="Times New Roman" w:cs="Calibri"/>
          <w:i w:val="false"/>
          <w:iCs w:val="false"/>
          <w:color w:val="auto"/>
          <w:sz w:val="22"/>
          <w:szCs w:val="22"/>
          <w:lang w:val="en-GB" w:eastAsia="zh-CN" w:bidi="ar-SA"/>
        </w:rPr>
        <w:t>σύμφωνα με την αρ. ΔΥα/γ./π./οικ. 36932/1703-2009 Κ.Υ.Α σε εφαρμογή του άρθρου 3 του Ν. 3580/2007 (: «</w:t>
      </w:r>
      <w:r>
        <w:rPr>
          <w:rFonts w:eastAsia="Times New Roman" w:cs="Calibri"/>
          <w:i w:val="false"/>
          <w:iCs w:val="false"/>
          <w:color w:val="auto"/>
          <w:sz w:val="22"/>
          <w:szCs w:val="22"/>
          <w:lang w:val="en-GB" w:eastAsia="zh-CN" w:bidi="ar-SA"/>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pPr>
        <w:pStyle w:val="Style19"/>
        <w:spacing w:before="0" w:after="0"/>
        <w:jc w:val="both"/>
        <w:rPr>
          <w:sz w:val="22"/>
          <w:szCs w:val="22"/>
        </w:rPr>
      </w:pPr>
      <w:r>
        <w:rPr>
          <w:i w:val="false"/>
          <w:iCs w:val="false"/>
          <w:sz w:val="22"/>
          <w:szCs w:val="22"/>
        </w:rPr>
        <w:t>Οι υπέρ τρίτων κρατήσεις υπόκεινται στο εκάστοτε ισχύον αναλογικό τέλος χαρτοσήμου και στην επ’ αυτού εισφορά υπέρ ΟΓΑ .</w:t>
      </w:r>
    </w:p>
    <w:p>
      <w:pPr>
        <w:pStyle w:val="Style19"/>
        <w:spacing w:before="0" w:after="0"/>
        <w:jc w:val="both"/>
        <w:rPr>
          <w:sz w:val="22"/>
          <w:szCs w:val="22"/>
        </w:rPr>
      </w:pPr>
      <w:r>
        <w:rPr>
          <w:i w:val="false"/>
          <w:iCs w:val="false"/>
          <w:sz w:val="22"/>
          <w:szCs w:val="22"/>
        </w:rPr>
        <w:t>Με κάθε πληρωμή θα γίνεται η προβλεπόμενη από την κείμενη νομοθεσία παρακράτηση φόρου εισοδήματος αξίας 4% επί του καθαρού ποσού.</w:t>
      </w:r>
    </w:p>
    <w:p>
      <w:pPr>
        <w:pStyle w:val="Normal"/>
        <w:spacing w:before="0" w:after="0"/>
        <w:jc w:val="both"/>
        <w:rPr>
          <w:sz w:val="22"/>
          <w:szCs w:val="22"/>
        </w:rPr>
      </w:pPr>
      <w:r>
        <w:rPr>
          <w:rFonts w:cs="Calibri" w:cstheme="minorHAnsi"/>
          <w:b/>
          <w:bCs/>
          <w:i w:val="false"/>
          <w:iCs w:val="false"/>
          <w:color w:val="000000"/>
          <w:sz w:val="22"/>
          <w:szCs w:val="22"/>
          <w:lang w:val="el-GR" w:eastAsia="el-GR"/>
        </w:rPr>
        <w:t>ε) Κάθε άλλη νόμιμη κράτηση</w:t>
      </w:r>
      <w:r>
        <w:rPr>
          <w:rFonts w:cs="Calibri" w:cstheme="minorHAnsi"/>
          <w:i w:val="false"/>
          <w:iCs w:val="false"/>
          <w:color w:val="000000"/>
          <w:sz w:val="22"/>
          <w:szCs w:val="22"/>
          <w:lang w:val="el-GR" w:eastAsia="el-GR"/>
        </w:rPr>
        <w:t xml:space="preserve"> και επιβάρυνση σύμφωνα με τις κείμενες διατάξεις.</w:t>
      </w:r>
    </w:p>
    <w:p>
      <w:pPr>
        <w:pStyle w:val="Normal"/>
        <w:spacing w:lineRule="auto" w:line="240"/>
        <w:ind w:right="-108" w:hanging="0"/>
        <w:jc w:val="both"/>
        <w:rPr/>
      </w:pPr>
      <w:r>
        <w:rPr>
          <w:rFonts w:eastAsia="Calibri" w:cs="Calibri" w:cstheme="minorHAnsi"/>
          <w:b/>
          <w:iCs/>
          <w:sz w:val="22"/>
          <w:szCs w:val="22"/>
          <w:u w:val="single"/>
        </w:rPr>
        <w:t>Η παρούσα</w:t>
      </w:r>
      <w:r>
        <w:rPr>
          <w:rStyle w:val="Fontstyle01"/>
          <w:rFonts w:cs="Calibri" w:cstheme="minorHAnsi"/>
          <w:sz w:val="22"/>
          <w:szCs w:val="22"/>
          <w:u w:val="single"/>
        </w:rPr>
        <w:t xml:space="preserve"> </w:t>
      </w:r>
      <w:r>
        <w:rPr>
          <w:rStyle w:val="Fontstyle01"/>
          <w:rFonts w:cs="Calibri" w:cstheme="minorHAnsi"/>
          <w:b/>
          <w:sz w:val="22"/>
          <w:szCs w:val="22"/>
          <w:u w:val="single"/>
        </w:rPr>
        <w:t xml:space="preserve">πρόσκληση </w:t>
      </w:r>
      <w:r>
        <w:rPr>
          <w:rFonts w:eastAsia="Calibri" w:cs="Calibri" w:cstheme="minorHAnsi"/>
          <w:b/>
          <w:iCs/>
          <w:sz w:val="22"/>
          <w:szCs w:val="22"/>
          <w:u w:val="single"/>
        </w:rPr>
        <w:t>αναρτάται:</w:t>
      </w:r>
    </w:p>
    <w:p>
      <w:pPr>
        <w:pStyle w:val="Normal"/>
        <w:numPr>
          <w:ilvl w:val="0"/>
          <w:numId w:val="1"/>
        </w:numPr>
        <w:spacing w:before="0" w:after="0"/>
        <w:ind w:left="318" w:hanging="284"/>
        <w:contextualSpacing/>
        <w:jc w:val="both"/>
        <w:rPr>
          <w:sz w:val="22"/>
          <w:szCs w:val="22"/>
        </w:rPr>
      </w:pPr>
      <w:r>
        <w:rPr>
          <w:rFonts w:eastAsia="Calibri" w:cs="Calibri" w:cstheme="minorHAnsi"/>
          <w:iCs/>
          <w:sz w:val="22"/>
          <w:szCs w:val="22"/>
          <w:lang w:eastAsia="el-GR"/>
        </w:rPr>
        <w:t>στο Κεντρικό Ηλεκτρονικό Μητρώο Δημοσίων Συμβάσεων της Γενικής Γραμματείας Εμπορίου (Κ.Η.Μ.ΔΗ.Σ.)</w:t>
      </w:r>
    </w:p>
    <w:p>
      <w:pPr>
        <w:pStyle w:val="Normal"/>
        <w:numPr>
          <w:ilvl w:val="0"/>
          <w:numId w:val="1"/>
        </w:numPr>
        <w:spacing w:before="0" w:after="0"/>
        <w:ind w:left="318" w:hanging="284"/>
        <w:contextualSpacing/>
        <w:jc w:val="both"/>
        <w:rPr/>
      </w:pPr>
      <w:r>
        <w:rPr>
          <w:rFonts w:eastAsia="Calibri" w:cs="Calibri" w:cstheme="minorHAnsi"/>
          <w:sz w:val="22"/>
          <w:szCs w:val="22"/>
          <w:lang w:eastAsia="el-GR"/>
        </w:rPr>
        <w:t xml:space="preserve">στη Διαδικτυακή Διεύθυνση </w:t>
      </w:r>
      <w:r>
        <w:rPr>
          <w:rFonts w:eastAsia="Calibri" w:cs="Calibri" w:cstheme="minorHAnsi"/>
          <w:iCs/>
          <w:sz w:val="22"/>
          <w:szCs w:val="22"/>
          <w:lang w:eastAsia="el-GR"/>
        </w:rPr>
        <w:t>του Γ.Ν. Σερρών (</w:t>
      </w:r>
      <w:hyperlink r:id="rId5">
        <w:r>
          <w:rPr>
            <w:rFonts w:eastAsia="Calibri" w:cs="Calibri" w:cstheme="minorHAnsi"/>
            <w:iCs/>
            <w:sz w:val="22"/>
            <w:szCs w:val="22"/>
            <w:u w:val="single"/>
            <w:lang w:eastAsia="el-GR"/>
          </w:rPr>
          <w:t>www.</w:t>
        </w:r>
        <w:r>
          <w:rPr>
            <w:rFonts w:eastAsia="Calibri" w:cs="Calibri" w:cstheme="minorHAnsi"/>
            <w:iCs/>
            <w:sz w:val="22"/>
            <w:szCs w:val="22"/>
            <w:u w:val="single"/>
            <w:lang w:val="en-US" w:eastAsia="el-GR"/>
          </w:rPr>
          <w:t>hospser</w:t>
        </w:r>
        <w:r>
          <w:rPr>
            <w:rFonts w:eastAsia="Calibri" w:cs="Calibri" w:cstheme="minorHAnsi"/>
            <w:iCs/>
            <w:sz w:val="22"/>
            <w:szCs w:val="22"/>
            <w:u w:val="single"/>
            <w:lang w:eastAsia="el-GR"/>
          </w:rPr>
          <w:t>.gr</w:t>
        </w:r>
      </w:hyperlink>
      <w:r>
        <w:rPr>
          <w:rFonts w:eastAsia="Calibri" w:cs="Calibri" w:cstheme="minorHAnsi"/>
          <w:iCs/>
          <w:sz w:val="22"/>
          <w:szCs w:val="22"/>
          <w:u w:val="single"/>
          <w:lang w:eastAsia="el-GR"/>
        </w:rPr>
        <w:t>)</w:t>
      </w:r>
    </w:p>
    <w:p>
      <w:pPr>
        <w:pStyle w:val="Default"/>
        <w:tabs>
          <w:tab w:val="clear" w:pos="720"/>
          <w:tab w:val="left" w:pos="851" w:leader="none"/>
          <w:tab w:val="left" w:pos="1134" w:leader="none"/>
        </w:tabs>
        <w:spacing w:before="0" w:after="27"/>
        <w:ind w:left="284" w:hanging="0"/>
        <w:jc w:val="both"/>
        <w:rPr/>
      </w:pPr>
      <w:r>
        <w:rPr>
          <w:rFonts w:cs="Calibri" w:cstheme="minorHAnsi"/>
          <w:sz w:val="22"/>
          <w:szCs w:val="22"/>
        </w:rPr>
        <w:br/>
      </w:r>
      <w:r>
        <w:rPr>
          <w:rStyle w:val="Fontstyle01"/>
          <w:rFonts w:cs="Calibri" w:cstheme="minorHAnsi"/>
          <w:sz w:val="22"/>
          <w:szCs w:val="22"/>
        </w:rPr>
        <w:t>Παραμένουμε στη διάθεσή σας για οποιαδήποτε περαιτέρω διευκρίνιση.</w:t>
      </w:r>
    </w:p>
    <w:p>
      <w:pPr>
        <w:pStyle w:val="Default"/>
        <w:tabs>
          <w:tab w:val="clear" w:pos="720"/>
          <w:tab w:val="left" w:pos="851" w:leader="none"/>
          <w:tab w:val="left" w:pos="1134" w:leader="none"/>
        </w:tabs>
        <w:spacing w:before="0" w:after="27"/>
        <w:ind w:left="284" w:hanging="0"/>
        <w:jc w:val="both"/>
        <w:rPr>
          <w:rStyle w:val="Fontstyle01"/>
          <w:rFonts w:cs="Calibri" w:cstheme="minorHAnsi"/>
          <w:sz w:val="22"/>
          <w:szCs w:val="22"/>
        </w:rPr>
      </w:pPr>
      <w:r>
        <w:rPr>
          <w:rFonts w:cs="Calibri" w:cstheme="minorHAnsi"/>
          <w:sz w:val="22"/>
          <w:szCs w:val="22"/>
        </w:rPr>
      </w:r>
    </w:p>
    <w:p>
      <w:pPr>
        <w:pStyle w:val="Normal"/>
        <w:widowControl w:val="false"/>
        <w:ind w:hanging="0"/>
        <w:jc w:val="both"/>
        <w:rPr/>
      </w:pPr>
      <w:r>
        <w:rPr>
          <w:rFonts w:eastAsia="NSimSun" w:cs="Calibri" w:cstheme="minorHAnsi"/>
          <w:b/>
          <w:bCs/>
          <w:kern w:val="2"/>
          <w:lang w:bidi="hi-IN"/>
        </w:rPr>
        <w:t xml:space="preserve">                                                                                                                                                         </w:t>
      </w:r>
      <w:r>
        <w:rPr>
          <w:rFonts w:eastAsia="NSimSun" w:cs="Calibri" w:cstheme="minorHAnsi"/>
          <w:b/>
          <w:bCs/>
          <w:kern w:val="2"/>
          <w:lang w:bidi="hi-IN"/>
        </w:rPr>
        <w:t xml:space="preserve">Ο  ΔΙΟΙΚΗΤΗΣ    </w:t>
      </w:r>
    </w:p>
    <w:p>
      <w:pPr>
        <w:pStyle w:val="Default"/>
        <w:tabs>
          <w:tab w:val="clear" w:pos="720"/>
          <w:tab w:val="left" w:pos="851" w:leader="none"/>
          <w:tab w:val="left" w:pos="1134" w:leader="none"/>
        </w:tabs>
        <w:spacing w:before="0" w:after="27"/>
        <w:ind w:left="7200" w:hanging="0"/>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tabs>
          <w:tab w:val="clear" w:pos="720"/>
          <w:tab w:val="left" w:pos="851" w:leader="none"/>
          <w:tab w:val="left" w:pos="1134" w:leader="none"/>
        </w:tabs>
        <w:spacing w:before="0" w:after="27"/>
        <w:ind w:left="7200" w:hanging="0"/>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tabs>
          <w:tab w:val="clear" w:pos="720"/>
          <w:tab w:val="left" w:pos="851" w:leader="none"/>
          <w:tab w:val="left" w:pos="1134" w:leader="none"/>
        </w:tabs>
        <w:spacing w:before="0" w:after="27"/>
        <w:ind w:left="7200" w:hanging="0"/>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tabs>
          <w:tab w:val="clear" w:pos="720"/>
          <w:tab w:val="left" w:pos="851" w:leader="none"/>
          <w:tab w:val="left" w:pos="1134" w:leader="none"/>
        </w:tabs>
        <w:spacing w:before="0" w:after="27"/>
        <w:ind w:left="7200" w:hanging="0"/>
        <w:jc w:val="both"/>
        <w:rPr/>
      </w:pPr>
      <w:r>
        <w:rPr>
          <w:rFonts w:eastAsia="NSimSun" w:cs="Calibri" w:cstheme="minorHAnsi"/>
          <w:b/>
          <w:bCs/>
          <w:color w:val="auto"/>
          <w:kern w:val="2"/>
          <w:sz w:val="22"/>
          <w:szCs w:val="22"/>
          <w:lang w:bidi="hi-IN"/>
        </w:rPr>
        <w:t>ΦΑΡΜΑΚΗΣ ΝΙΚΟΛΑΟΣ</w:t>
      </w:r>
    </w:p>
    <w:p>
      <w:pPr>
        <w:pStyle w:val="Default"/>
        <w:tabs>
          <w:tab w:val="clear" w:pos="720"/>
          <w:tab w:val="left" w:pos="851" w:leader="none"/>
          <w:tab w:val="left" w:pos="1134" w:leader="none"/>
        </w:tabs>
        <w:spacing w:lineRule="auto" w:line="360" w:before="0" w:after="27"/>
        <w:ind w:hanging="0"/>
        <w:jc w:val="both"/>
        <w:rPr/>
      </w:pPr>
      <w:r>
        <w:rPr>
          <w:rFonts w:cs="Calibri" w:cstheme="minorHAnsi"/>
          <w:b/>
          <w:bCs/>
          <w:sz w:val="22"/>
          <w:szCs w:val="22"/>
        </w:rPr>
        <w:t>Συνημμένα:</w:t>
        <w:br/>
      </w:r>
      <w:r>
        <w:rPr>
          <w:rFonts w:cs="Calibri" w:cstheme="minorHAnsi"/>
          <w:color w:val="auto"/>
          <w:sz w:val="22"/>
          <w:szCs w:val="22"/>
        </w:rPr>
        <w:t>Παράρτημα 1:  ΤΕΧΝΙΚΕΣ ΠΡΟΔΙΑΓΡΑΦΕΣ - ΠΙΝΑΚΑΣ ΣΥΜΜΟΡΦΩΣΗΣ</w:t>
      </w:r>
    </w:p>
    <w:p>
      <w:pPr>
        <w:pStyle w:val="Default"/>
        <w:tabs>
          <w:tab w:val="clear" w:pos="720"/>
          <w:tab w:val="left" w:pos="851" w:leader="none"/>
          <w:tab w:val="left" w:pos="1134" w:leader="none"/>
        </w:tabs>
        <w:spacing w:lineRule="auto" w:line="360" w:before="0" w:after="27"/>
        <w:ind w:left="284" w:hanging="0"/>
        <w:jc w:val="both"/>
        <w:rPr/>
      </w:pPr>
      <w:r>
        <w:rPr>
          <w:rFonts w:cs="Calibri" w:cstheme="minorHAnsi"/>
          <w:color w:val="auto"/>
          <w:sz w:val="22"/>
          <w:szCs w:val="22"/>
        </w:rPr>
        <w:t xml:space="preserve">                 </w:t>
      </w:r>
      <w:r>
        <w:rPr>
          <w:rFonts w:cs="Calibri" w:cstheme="minorHAnsi"/>
          <w:color w:val="auto"/>
          <w:sz w:val="22"/>
          <w:szCs w:val="22"/>
        </w:rPr>
        <w:t xml:space="preserve">2: </w:t>
      </w:r>
      <w:r>
        <w:rPr>
          <w:rFonts w:cs="Calibri"/>
          <w:b w:val="false"/>
          <w:bCs w:val="false"/>
          <w:color w:val="000000"/>
          <w:sz w:val="24"/>
          <w:szCs w:val="24"/>
          <w:shd w:fill="auto" w:val="clear"/>
          <w:lang w:val="el-GR"/>
        </w:rPr>
        <w:t xml:space="preserve"> </w:t>
      </w:r>
      <w:r>
        <w:rPr>
          <w:rFonts w:cs="Calibri-Bold"/>
          <w:b w:val="false"/>
          <w:bCs w:val="false"/>
          <w:i w:val="false"/>
          <w:color w:val="000000"/>
          <w:sz w:val="22"/>
          <w:szCs w:val="22"/>
          <w:shd w:fill="auto" w:val="clear"/>
          <w:lang w:val="el-GR"/>
        </w:rPr>
        <w:t>ΠΙΝΑΚΕΣ ΟΙΚΟΝΟΜΙΚΗΣ ΠΡΟΣΦΟΡΑΣ</w:t>
      </w:r>
    </w:p>
    <w:p>
      <w:pPr>
        <w:pStyle w:val="Normal"/>
        <w:jc w:val="center"/>
        <w:rPr>
          <w:b/>
          <w:b/>
          <w:bCs/>
        </w:rPr>
      </w:pPr>
      <w:r>
        <w:rPr>
          <w:b/>
          <w:bCs/>
          <w:i w:val="false"/>
          <w:iCs w:val="false"/>
          <w:sz w:val="22"/>
          <w:szCs w:val="22"/>
          <w:u w:val="none"/>
          <w:lang w:eastAsia="el-GR"/>
        </w:rPr>
        <w:t>ΠΑΡΑΡΤΗΜΑ 1</w:t>
      </w:r>
    </w:p>
    <w:p>
      <w:pPr>
        <w:pStyle w:val="Normal"/>
        <w:jc w:val="center"/>
        <w:rPr>
          <w:b/>
          <w:b/>
          <w:bCs/>
          <w:u w:val="single"/>
        </w:rPr>
      </w:pPr>
      <w:r>
        <w:rPr>
          <w:b/>
          <w:bCs/>
          <w:i w:val="false"/>
          <w:iCs w:val="false"/>
          <w:sz w:val="22"/>
          <w:szCs w:val="22"/>
          <w:u w:val="single"/>
          <w:lang w:eastAsia="el-GR"/>
        </w:rPr>
        <w:t>ΜΕΡΟΣ Α’</w:t>
      </w:r>
    </w:p>
    <w:p>
      <w:pPr>
        <w:pStyle w:val="Normal"/>
        <w:jc w:val="center"/>
        <w:rPr/>
      </w:pPr>
      <w:r>
        <w:rPr>
          <w:b w:val="false"/>
          <w:bCs w:val="false"/>
          <w:i w:val="false"/>
          <w:iCs w:val="false"/>
          <w:sz w:val="22"/>
          <w:szCs w:val="22"/>
          <w:u w:val="none"/>
          <w:lang w:eastAsia="el-GR"/>
        </w:rPr>
        <w:t xml:space="preserve"> </w:t>
      </w:r>
      <w:r>
        <w:rPr>
          <w:rFonts w:cs="Calibri"/>
          <w:b/>
          <w:bCs w:val="false"/>
          <w:i w:val="false"/>
          <w:iCs w:val="false"/>
          <w:sz w:val="24"/>
          <w:szCs w:val="24"/>
          <w:u w:val="single"/>
          <w:lang w:val="en-US" w:eastAsia="en-US"/>
        </w:rPr>
        <w:t>TMHMA 1</w:t>
      </w:r>
      <w:r>
        <w:rPr>
          <w:rFonts w:cs="Calibri"/>
          <w:b/>
          <w:bCs w:val="false"/>
          <w:i w:val="false"/>
          <w:iCs w:val="false"/>
          <w:sz w:val="24"/>
          <w:szCs w:val="24"/>
          <w:u w:val="single"/>
          <w:lang w:val="el-GR" w:eastAsia="en-US"/>
        </w:rPr>
        <w:t xml:space="preserve">. </w:t>
      </w:r>
      <w:r>
        <w:rPr>
          <w:rFonts w:cs="Calibri"/>
          <w:b/>
          <w:bCs/>
          <w:i w:val="false"/>
          <w:iCs w:val="false"/>
          <w:sz w:val="24"/>
          <w:szCs w:val="24"/>
          <w:u w:val="single"/>
          <w:shd w:fill="auto" w:val="clear"/>
          <w:lang w:val="el-GR" w:eastAsia="en-US"/>
        </w:rPr>
        <w:t xml:space="preserve">ΦΥΛΛΟ ΣΥΜΜΟΡΦΩΣΗΣ ΤΕΧΝΙΚΕΣ ΠΡΟΔΙΑΓΡΑΦΕΣ </w:t>
      </w:r>
      <w:r>
        <w:rPr>
          <w:rFonts w:cs="Calibri"/>
          <w:b/>
          <w:bCs w:val="false"/>
          <w:i w:val="false"/>
          <w:iCs w:val="false"/>
          <w:sz w:val="24"/>
          <w:szCs w:val="24"/>
          <w:u w:val="single"/>
          <w:lang w:val="el-GR" w:eastAsia="en-US"/>
        </w:rPr>
        <w:t xml:space="preserve">: </w:t>
      </w:r>
      <w:r>
        <w:rPr>
          <w:rFonts w:cs="Calibri"/>
          <w:b/>
          <w:bCs w:val="false"/>
          <w:i w:val="false"/>
          <w:iCs w:val="false"/>
          <w:strike w:val="false"/>
          <w:dstrike w:val="false"/>
          <w:outline w:val="false"/>
          <w:shadow w:val="false"/>
          <w:sz w:val="24"/>
          <w:szCs w:val="24"/>
          <w:u w:val="single"/>
          <w:em w:val="none"/>
          <w:lang w:eastAsia="el-GR"/>
        </w:rPr>
        <w:t xml:space="preserve">ΑΝΑΛΥΤΗΣ ΟΥΡΩΝ ΕΦΗΜΕΡΙΟ (Αντιδραστήρια, calibrators, controls με </w:t>
      </w:r>
      <w:r>
        <w:rPr>
          <w:rFonts w:eastAsia="Times New Roman" w:cs="Calibri"/>
          <w:b/>
          <w:bCs/>
          <w:i w:val="false"/>
          <w:iCs w:val="false"/>
          <w:strike w:val="false"/>
          <w:dstrike w:val="false"/>
          <w:outline w:val="false"/>
          <w:shadow w:val="false"/>
          <w:color w:val="000000"/>
          <w:sz w:val="24"/>
          <w:szCs w:val="24"/>
          <w:u w:val="single"/>
          <w:shd w:fill="auto" w:val="clear"/>
          <w:em w:val="none"/>
          <w:lang w:val="el-GR" w:eastAsia="zh-CN" w:bidi="ar-SA"/>
        </w:rPr>
        <w:t xml:space="preserve">δωρεάν </w:t>
      </w:r>
      <w:r>
        <w:rPr>
          <w:rFonts w:cs="Calibri"/>
          <w:b/>
          <w:bCs w:val="false"/>
          <w:i w:val="false"/>
          <w:iCs w:val="false"/>
          <w:strike w:val="false"/>
          <w:dstrike w:val="false"/>
          <w:outline w:val="false"/>
          <w:shadow w:val="false"/>
          <w:sz w:val="24"/>
          <w:szCs w:val="24"/>
          <w:u w:val="single"/>
          <w:em w:val="none"/>
          <w:lang w:eastAsia="el-GR"/>
        </w:rPr>
        <w:t>συνοδό εξοπλισμό).</w:t>
      </w:r>
      <w:r>
        <w:rPr>
          <w:rFonts w:cs="Calibri"/>
          <w:b/>
          <w:bCs/>
          <w:i w:val="false"/>
          <w:iCs w:val="false"/>
          <w:strike w:val="false"/>
          <w:dstrike w:val="false"/>
          <w:outline w:val="false"/>
          <w:shadow w:val="false"/>
          <w:sz w:val="24"/>
          <w:szCs w:val="24"/>
          <w:u w:val="single"/>
          <w:shd w:fill="auto" w:val="clear"/>
          <w:em w:val="none"/>
          <w:lang w:eastAsia="el-GR"/>
        </w:rPr>
        <w:t xml:space="preserve"> </w:t>
      </w:r>
    </w:p>
    <w:p>
      <w:pPr>
        <w:pStyle w:val="Normal"/>
        <w:jc w:val="center"/>
        <w:rPr>
          <w:rFonts w:ascii="Calibri" w:hAnsi="Calibri"/>
          <w:sz w:val="22"/>
          <w:szCs w:val="22"/>
        </w:rPr>
      </w:pPr>
      <w:r>
        <w:rPr>
          <w:rFonts w:cs="Calibri"/>
          <w:b/>
          <w:bCs/>
          <w:i w:val="false"/>
          <w:strike w:val="false"/>
          <w:dstrike w:val="false"/>
          <w:outline w:val="false"/>
          <w:shadow w:val="false"/>
          <w:sz w:val="20"/>
          <w:szCs w:val="20"/>
          <w:u w:val="single"/>
          <w:shd w:fill="CCCCCC" w:val="clear"/>
          <w:em w:val="none"/>
          <w:lang w:val="el-GR"/>
        </w:rPr>
        <w:t>ΕΚΤΙΜΩΜΕΝΟΣ ΠΡΟΥΠΟΛΟΓΙΣΜΟΣ: 2.000,00 €</w:t>
      </w:r>
    </w:p>
    <w:tbl>
      <w:tblPr>
        <w:tblW w:w="9341" w:type="dxa"/>
        <w:jc w:val="left"/>
        <w:tblInd w:w="28" w:type="dxa"/>
        <w:tblLayout w:type="fixed"/>
        <w:tblCellMar>
          <w:top w:w="28" w:type="dxa"/>
          <w:left w:w="28" w:type="dxa"/>
          <w:bottom w:w="28" w:type="dxa"/>
          <w:right w:w="28" w:type="dxa"/>
        </w:tblCellMar>
      </w:tblPr>
      <w:tblGrid>
        <w:gridCol w:w="453"/>
        <w:gridCol w:w="6691"/>
        <w:gridCol w:w="1078"/>
        <w:gridCol w:w="1118"/>
      </w:tblGrid>
      <w:tr>
        <w:trPr/>
        <w:tc>
          <w:tcPr>
            <w:tcW w:w="9340" w:type="dxa"/>
            <w:gridSpan w:val="4"/>
            <w:tcBorders>
              <w:top w:val="single" w:sz="2" w:space="0" w:color="000000"/>
              <w:left w:val="single" w:sz="2" w:space="0" w:color="000000"/>
              <w:bottom w:val="single" w:sz="2" w:space="0" w:color="000000"/>
              <w:right w:val="single" w:sz="2" w:space="0" w:color="000000"/>
            </w:tcBorders>
            <w:shd w:fill="CCCCCC" w:val="clear"/>
            <w:vAlign w:val="center"/>
          </w:tcPr>
          <w:p>
            <w:pPr>
              <w:pStyle w:val="Normal"/>
              <w:widowControl w:val="false"/>
              <w:spacing w:before="0" w:after="200"/>
              <w:rPr>
                <w:sz w:val="18"/>
                <w:szCs w:val="18"/>
              </w:rPr>
            </w:pPr>
            <w:r>
              <w:rPr>
                <w:sz w:val="18"/>
                <w:szCs w:val="18"/>
              </w:rPr>
              <w:t>Τεχνικές Προδιαγραφές – Φύλλο Συμόρφωσης</w:t>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α/α</w:t>
            </w:r>
          </w:p>
        </w:tc>
        <w:tc>
          <w:tcPr>
            <w:tcW w:w="66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Περιγραφή Τεχνικής Προδιαγραφής Συνοδού Μηχανήματος</w:t>
            </w:r>
          </w:p>
        </w:tc>
        <w:tc>
          <w:tcPr>
            <w:tcW w:w="1078"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Απάντηση Υποψηφίου</w:t>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sz w:val="18"/>
                <w:szCs w:val="18"/>
              </w:rPr>
            </w:pPr>
            <w:r>
              <w:rPr>
                <w:sz w:val="18"/>
                <w:szCs w:val="18"/>
              </w:rPr>
              <w:t>Παραπομπή</w:t>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έχει τη δυνατότητα ανάγνωσης των κάτωθι παραμέτρων : E.B - PH- γλυκόζη-λεύκωμα-κετόνες-BILIRUBIN - ουροχολινογόνο - Ηb- νιτρώδη – λευκοκύτταρα – ερυθρά.</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2</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είναι μικρό σε διαστάσεις και με εργονομικό σχεδιασμό.</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3</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διατηρεί στην μνήμη του αρχείο ασθενών .</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4</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μπορεί να συνδεθεί με το σύστημα πληροφορικής του εργαστηρίου και το κόστος εξοπλισμού , διασύνδεσης και υποστήριξης του αναλυτή θα επιβαρύνει την ανάδοχη εταιρεία. Τα αναλώσιμα που απορρέουν από την χρήση του αναλυτή και του συστήματος διαχείρισης αποτελεσμάτων (μελάνες εκτυπωτών, κεφαλές εκτυπωτών, τόνερ,) θα επιβαρύνουν τον προμηθευτή.</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5</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έχει ενσωματωμένο αθόρυβο εκτυπωτή.</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6</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έχει τη δυνατότητα επισήμανσης των μη φυσιολογικών τιμών.</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rHeight w:val="474" w:hRule="atLeast"/>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7</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έχει τη δυνατότητα αυτόματης βαθμονόμησης. Το   κόστος του εσωτερικού ποιοτικού ελέγχου θα βαρύνει την ανάδοχο εταιρεία.</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8</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διαθέτει ακρίβεια και επαναληψιμότητα.</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9</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Το καλιμπράρισμα να γίνεται αυτόματα κατά την έναρξη λειτουργίας του αναλυτή χωρίς να απαιτεί την παρουσία του χειριστή.</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10</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μην απαιτούνται αντιδραστήρια σε υγρή μορφή για την μέτρηση των προαναφερθέντων παραμέτρων αλλά μόνο ταινίες ούρων.</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11</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Στην τιμή ανά εξέταση θα συμπεριλαμβάνονται όλα τα απαιτούμενα αναλώσιμα,οι βαθμονομητές, τα αντιδραστήρια ποιοτικού ελέγχου.</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12</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Ο συνοδός εξοπλισμός να είναι κατασκευής από το 2015 και έπειτα.</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13</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Το σύνολο των αντιδραστηρίων να έχει χρόνο λήξης  μεγαλύτερο από 3 μήνες κατά την παράδοση</w:t>
            </w:r>
            <w:r>
              <w:rPr>
                <w:rFonts w:cs="Calibri"/>
                <w:sz w:val="18"/>
                <w:szCs w:val="18"/>
              </w:rPr>
              <w:t>.</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14</w:t>
            </w:r>
          </w:p>
        </w:tc>
        <w:tc>
          <w:tcPr>
            <w:tcW w:w="6691"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εξασφαλίζεται από τον προμηθευτή η σωστή μεταφορά των προϊόντων που απαιτούν θερμοκρασίες συντήρησης (ψυγείου).</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15</w:t>
            </w:r>
          </w:p>
        </w:tc>
        <w:tc>
          <w:tcPr>
            <w:tcW w:w="6691"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lang w:val="el-GR" w:eastAsia="en-US"/>
              </w:rPr>
              <w:t>Οι ταινίες ν</w:t>
            </w:r>
            <w:r>
              <w:rPr>
                <w:sz w:val="18"/>
                <w:szCs w:val="18"/>
                <w:lang w:eastAsia="en-US"/>
              </w:rPr>
              <w:t xml:space="preserve">α είναι 10 παραμέτρων και να προσδιορίζουν: γλυκόζη, κετόνες, λεύκωμα, </w:t>
            </w:r>
            <w:r>
              <w:rPr>
                <w:sz w:val="18"/>
                <w:szCs w:val="18"/>
                <w:lang w:val="en-US" w:eastAsia="en-US"/>
              </w:rPr>
              <w:t>PH</w:t>
            </w:r>
            <w:r>
              <w:rPr>
                <w:sz w:val="18"/>
                <w:szCs w:val="18"/>
                <w:lang w:eastAsia="en-US"/>
              </w:rPr>
              <w:t>, αίμα, νιτρώδη, χολερυθρίνη, ουροχολινογόνο, λευκοκύτταρα, και ειδικό βάρος.</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16</w:t>
            </w:r>
          </w:p>
        </w:tc>
        <w:tc>
          <w:tcPr>
            <w:tcW w:w="6691"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lang w:val="el-GR" w:eastAsia="en-US"/>
              </w:rPr>
              <w:t>Οι ταινίες ν</w:t>
            </w:r>
            <w:r>
              <w:rPr>
                <w:sz w:val="18"/>
                <w:szCs w:val="18"/>
                <w:lang w:eastAsia="en-US"/>
              </w:rPr>
              <w:t xml:space="preserve">α παρέχουν απαραίτητα προστασία της μέτρησης αίματος και γλυκόζης </w:t>
            </w:r>
            <w:r>
              <w:rPr>
                <w:sz w:val="18"/>
                <w:szCs w:val="18"/>
                <w:lang w:val="el-GR" w:eastAsia="en-US"/>
              </w:rPr>
              <w:t>στα ο</w:t>
            </w:r>
            <w:r>
              <w:rPr>
                <w:sz w:val="18"/>
                <w:szCs w:val="18"/>
                <w:lang w:eastAsia="en-US"/>
              </w:rPr>
              <w:t xml:space="preserve">ύρα, από την επίδραση βιταμίνης </w:t>
            </w:r>
            <w:r>
              <w:rPr>
                <w:sz w:val="18"/>
                <w:szCs w:val="18"/>
                <w:lang w:val="en-US" w:eastAsia="en-US"/>
              </w:rPr>
              <w:t>C (ασκορβικό οξύ), τουλάχιστον για συγκέντρωση 30 mg/dl βιταμίνης C στο δείγμα.</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17</w:t>
            </w:r>
          </w:p>
        </w:tc>
        <w:tc>
          <w:tcPr>
            <w:tcW w:w="6691"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lang w:val="el-GR" w:eastAsia="en-US"/>
              </w:rPr>
              <w:t>Οι ταινίες ν</w:t>
            </w:r>
            <w:r>
              <w:rPr>
                <w:sz w:val="18"/>
                <w:szCs w:val="18"/>
                <w:lang w:eastAsia="en-US"/>
              </w:rPr>
              <w:t>α μπορούν να διαβαστούν και χωρίς αναλυτή.</w:t>
            </w:r>
          </w:p>
        </w:tc>
        <w:tc>
          <w:tcPr>
            <w:tcW w:w="1078"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118"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bl>
    <w:p>
      <w:pPr>
        <w:pStyle w:val="Normal"/>
        <w:spacing w:lineRule="auto" w:line="240" w:before="0" w:after="0"/>
        <w:ind w:left="0" w:right="-126" w:hanging="0"/>
        <w:jc w:val="both"/>
        <w:rPr>
          <w:rFonts w:ascii="Times New Roman" w:hAnsi="Times New Roman" w:cs="Times New Roman"/>
          <w:b/>
          <w:b/>
          <w:bCs/>
          <w:sz w:val="18"/>
          <w:szCs w:val="18"/>
        </w:rPr>
      </w:pPr>
      <w:r>
        <w:rPr>
          <w:rFonts w:cs="Times New Roman" w:ascii="Times New Roman" w:hAnsi="Times New Roman"/>
          <w:b/>
          <w:bCs/>
          <w:sz w:val="18"/>
          <w:szCs w:val="18"/>
        </w:rPr>
      </w:r>
    </w:p>
    <w:p>
      <w:pPr>
        <w:pStyle w:val="Normal"/>
        <w:spacing w:lineRule="auto" w:line="240" w:before="0" w:after="0"/>
        <w:ind w:left="0" w:right="-126" w:hanging="0"/>
        <w:jc w:val="both"/>
        <w:rPr>
          <w:rFonts w:ascii="Times New Roman" w:hAnsi="Times New Roman" w:cs="Times New Roman"/>
          <w:b/>
          <w:b/>
          <w:bCs/>
          <w:sz w:val="18"/>
          <w:szCs w:val="18"/>
        </w:rPr>
      </w:pPr>
      <w:r>
        <w:rPr>
          <w:rFonts w:cs="Times New Roman" w:ascii="Times New Roman" w:hAnsi="Times New Roman"/>
          <w:b/>
          <w:bCs/>
          <w:sz w:val="18"/>
          <w:szCs w:val="18"/>
        </w:rPr>
      </w:r>
    </w:p>
    <w:p>
      <w:pPr>
        <w:pStyle w:val="Normal"/>
        <w:rPr/>
      </w:pPr>
      <w:r>
        <w:rPr>
          <w:b/>
          <w:bCs/>
          <w:sz w:val="24"/>
          <w:szCs w:val="24"/>
        </w:rPr>
        <w:t xml:space="preserve">1.2 </w:t>
      </w:r>
      <w:r>
        <w:rPr>
          <w:b/>
          <w:bCs/>
          <w:sz w:val="24"/>
          <w:szCs w:val="24"/>
          <w:lang w:val="el-GR"/>
        </w:rPr>
        <w:t>Α</w:t>
      </w:r>
      <w:r>
        <w:rPr>
          <w:b/>
          <w:bCs/>
          <w:sz w:val="24"/>
          <w:szCs w:val="24"/>
          <w:lang w:val="el-GR" w:eastAsia="zh-CN" w:bidi="ar-SA"/>
        </w:rPr>
        <w:t>ΝΤΙΔΡΑΣΤΗΡΙΑ (ΤΑΙΝΙΕΣ ΓΙΑ ΤΟΝ ΑΝΑΛΥΤΗ ΟΥΡΩΝ ΕΦΗΜΡΙΟΥ)</w:t>
      </w:r>
    </w:p>
    <w:tbl>
      <w:tblPr>
        <w:tblW w:w="9471" w:type="dxa"/>
        <w:jc w:val="left"/>
        <w:tblInd w:w="55" w:type="dxa"/>
        <w:tblLayout w:type="fixed"/>
        <w:tblCellMar>
          <w:top w:w="55" w:type="dxa"/>
          <w:left w:w="55" w:type="dxa"/>
          <w:bottom w:w="55" w:type="dxa"/>
          <w:right w:w="55" w:type="dxa"/>
        </w:tblCellMar>
      </w:tblPr>
      <w:tblGrid>
        <w:gridCol w:w="447"/>
        <w:gridCol w:w="6528"/>
        <w:gridCol w:w="1531"/>
        <w:gridCol w:w="964"/>
      </w:tblGrid>
      <w:tr>
        <w:trPr>
          <w:trHeight w:val="396" w:hRule="exact"/>
        </w:trPr>
        <w:tc>
          <w:tcPr>
            <w:tcW w:w="447" w:type="dxa"/>
            <w:tcBorders>
              <w:top w:val="single" w:sz="4" w:space="0" w:color="000000"/>
              <w:left w:val="single" w:sz="4" w:space="0" w:color="000000"/>
              <w:bottom w:val="single" w:sz="4" w:space="0" w:color="000000"/>
            </w:tcBorders>
          </w:tcPr>
          <w:p>
            <w:pPr>
              <w:pStyle w:val="Normal"/>
              <w:widowControl w:val="false"/>
              <w:spacing w:before="0" w:after="200"/>
              <w:rPr>
                <w:sz w:val="16"/>
                <w:szCs w:val="16"/>
              </w:rPr>
            </w:pPr>
            <w:r>
              <w:rPr>
                <w:sz w:val="16"/>
                <w:szCs w:val="16"/>
              </w:rPr>
              <w:t>Α/Α</w:t>
            </w:r>
          </w:p>
        </w:tc>
        <w:tc>
          <w:tcPr>
            <w:tcW w:w="6528" w:type="dxa"/>
            <w:tcBorders>
              <w:top w:val="single" w:sz="4" w:space="0" w:color="000000"/>
              <w:left w:val="single" w:sz="4" w:space="0" w:color="000000"/>
              <w:bottom w:val="single" w:sz="4" w:space="0" w:color="000000"/>
            </w:tcBorders>
          </w:tcPr>
          <w:p>
            <w:pPr>
              <w:pStyle w:val="Normal"/>
              <w:widowControl w:val="false"/>
              <w:spacing w:before="0" w:after="200"/>
              <w:rPr>
                <w:sz w:val="16"/>
                <w:szCs w:val="16"/>
              </w:rPr>
            </w:pPr>
            <w:r>
              <w:rPr>
                <w:sz w:val="16"/>
                <w:szCs w:val="16"/>
              </w:rPr>
              <w:t>ΑΝΤΙΔΡΑΣΤΗΡΙΑ (ΤΑΙΝΙΕΣ) ΓΙΑ ΤΟΝ ΑΝΑΛΥΤΗ ΟΥΡΩΝ ΕΦΗΜΕΡΙΟΥ</w:t>
            </w:r>
          </w:p>
        </w:tc>
        <w:tc>
          <w:tcPr>
            <w:tcW w:w="1531" w:type="dxa"/>
            <w:tcBorders>
              <w:top w:val="single" w:sz="4" w:space="0" w:color="000000"/>
              <w:left w:val="single" w:sz="4" w:space="0" w:color="000000"/>
              <w:bottom w:val="single" w:sz="4" w:space="0" w:color="000000"/>
            </w:tcBorders>
          </w:tcPr>
          <w:p>
            <w:pPr>
              <w:pStyle w:val="Normal"/>
              <w:widowControl w:val="false"/>
              <w:spacing w:before="0" w:after="200"/>
              <w:rPr>
                <w:sz w:val="16"/>
                <w:szCs w:val="16"/>
              </w:rPr>
            </w:pPr>
            <w:r>
              <w:rPr>
                <w:sz w:val="16"/>
                <w:szCs w:val="16"/>
              </w:rPr>
              <w:t>Μονάδα Μέτρησης</w:t>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sz w:val="16"/>
                <w:szCs w:val="16"/>
              </w:rPr>
            </w:pPr>
            <w:r>
              <w:rPr>
                <w:sz w:val="16"/>
                <w:szCs w:val="16"/>
              </w:rPr>
              <w:t>Ποσότητα</w:t>
            </w:r>
          </w:p>
        </w:tc>
      </w:tr>
      <w:tr>
        <w:trPr>
          <w:trHeight w:val="396" w:hRule="exact"/>
        </w:trPr>
        <w:tc>
          <w:tcPr>
            <w:tcW w:w="447" w:type="dxa"/>
            <w:tcBorders>
              <w:left w:val="single" w:sz="4" w:space="0" w:color="000000"/>
              <w:bottom w:val="single" w:sz="4" w:space="0" w:color="000000"/>
            </w:tcBorders>
          </w:tcPr>
          <w:p>
            <w:pPr>
              <w:pStyle w:val="Normal"/>
              <w:widowControl w:val="false"/>
              <w:spacing w:before="0" w:after="200"/>
              <w:rPr>
                <w:sz w:val="16"/>
                <w:szCs w:val="16"/>
              </w:rPr>
            </w:pPr>
            <w:r>
              <w:rPr>
                <w:sz w:val="16"/>
                <w:szCs w:val="16"/>
              </w:rPr>
              <w:t>1</w:t>
            </w:r>
          </w:p>
        </w:tc>
        <w:tc>
          <w:tcPr>
            <w:tcW w:w="6528" w:type="dxa"/>
            <w:tcBorders>
              <w:left w:val="single" w:sz="4" w:space="0" w:color="000000"/>
              <w:bottom w:val="single" w:sz="4" w:space="0" w:color="000000"/>
            </w:tcBorders>
          </w:tcPr>
          <w:p>
            <w:pPr>
              <w:pStyle w:val="Normal"/>
              <w:widowControl w:val="false"/>
              <w:spacing w:before="0" w:after="200"/>
              <w:rPr>
                <w:sz w:val="16"/>
                <w:szCs w:val="16"/>
              </w:rPr>
            </w:pPr>
            <w:r>
              <w:rPr>
                <w:sz w:val="16"/>
                <w:szCs w:val="16"/>
              </w:rPr>
              <w:t>Ταινίες Ούρων με 10 τουλάχιστον παραμέτρους.</w:t>
            </w:r>
          </w:p>
        </w:tc>
        <w:tc>
          <w:tcPr>
            <w:tcW w:w="1531" w:type="dxa"/>
            <w:tcBorders>
              <w:left w:val="single" w:sz="4" w:space="0" w:color="000000"/>
              <w:bottom w:val="single" w:sz="4" w:space="0" w:color="000000"/>
            </w:tcBorders>
          </w:tcPr>
          <w:p>
            <w:pPr>
              <w:pStyle w:val="Normal"/>
              <w:widowControl w:val="false"/>
              <w:spacing w:before="0" w:after="200"/>
              <w:rPr>
                <w:sz w:val="16"/>
                <w:szCs w:val="16"/>
              </w:rPr>
            </w:pPr>
            <w:r>
              <w:rPr>
                <w:sz w:val="16"/>
                <w:szCs w:val="16"/>
              </w:rPr>
              <w:t>Εξέταση</w:t>
            </w:r>
          </w:p>
        </w:tc>
        <w:tc>
          <w:tcPr>
            <w:tcW w:w="964" w:type="dxa"/>
            <w:tcBorders>
              <w:left w:val="single" w:sz="4" w:space="0" w:color="000000"/>
              <w:bottom w:val="single" w:sz="4" w:space="0" w:color="000000"/>
              <w:right w:val="single" w:sz="4" w:space="0" w:color="000000"/>
            </w:tcBorders>
          </w:tcPr>
          <w:p>
            <w:pPr>
              <w:pStyle w:val="Normal"/>
              <w:widowControl w:val="false"/>
              <w:spacing w:before="0" w:after="200"/>
              <w:rPr>
                <w:sz w:val="16"/>
                <w:szCs w:val="16"/>
              </w:rPr>
            </w:pPr>
            <w:r>
              <w:rPr>
                <w:sz w:val="16"/>
                <w:szCs w:val="16"/>
              </w:rPr>
              <w:t>8.000</w:t>
            </w:r>
          </w:p>
        </w:tc>
      </w:tr>
    </w:tbl>
    <w:p>
      <w:pPr>
        <w:pStyle w:val="Normal"/>
        <w:rPr>
          <w:rFonts w:ascii="Times New Roman" w:hAnsi="Times New Roman" w:cs="Times New Roman"/>
          <w:b/>
          <w:b/>
          <w:bCs/>
          <w:color w:val="002060"/>
          <w:sz w:val="18"/>
          <w:szCs w:val="18"/>
          <w:u w:val="single"/>
        </w:rPr>
      </w:pPr>
      <w:r>
        <w:rPr>
          <w:rFonts w:cs="Times New Roman" w:ascii="Times New Roman" w:hAnsi="Times New Roman"/>
          <w:b/>
          <w:bCs/>
          <w:color w:val="002060"/>
          <w:sz w:val="18"/>
          <w:szCs w:val="18"/>
          <w:u w:val="single"/>
        </w:rPr>
      </w:r>
    </w:p>
    <w:p>
      <w:pPr>
        <w:pStyle w:val="Normal"/>
        <w:jc w:val="both"/>
        <w:rPr>
          <w:rFonts w:ascii="Calibri" w:hAnsi="Calibri"/>
          <w:sz w:val="22"/>
          <w:szCs w:val="22"/>
        </w:rPr>
      </w:pPr>
      <w:r>
        <w:rPr>
          <w:b w:val="false"/>
          <w:bCs w:val="false"/>
          <w:i w:val="false"/>
          <w:iCs w:val="false"/>
          <w:sz w:val="22"/>
          <w:szCs w:val="22"/>
          <w:u w:val="none"/>
          <w:lang w:eastAsia="el-GR"/>
        </w:rPr>
        <w:t xml:space="preserve"> </w:t>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Normal"/>
        <w:jc w:val="both"/>
        <w:rPr>
          <w:rFonts w:ascii="Calibri" w:hAnsi="Calibri"/>
          <w:sz w:val="22"/>
          <w:szCs w:val="22"/>
        </w:rPr>
      </w:pPr>
      <w:r>
        <w:rPr>
          <w:sz w:val="22"/>
          <w:szCs w:val="22"/>
        </w:rPr>
      </w:r>
    </w:p>
    <w:p>
      <w:pPr>
        <w:pStyle w:val="Style19"/>
        <w:spacing w:lineRule="auto" w:line="240" w:before="0" w:after="0"/>
        <w:jc w:val="center"/>
        <w:rPr>
          <w:rFonts w:ascii="Calibri" w:hAnsi="Calibri"/>
          <w:sz w:val="24"/>
          <w:szCs w:val="24"/>
        </w:rPr>
      </w:pPr>
      <w:r>
        <w:rPr>
          <w:rFonts w:cs="Arial"/>
          <w:b/>
          <w:bCs/>
          <w:sz w:val="24"/>
          <w:szCs w:val="24"/>
          <w:u w:val="single"/>
          <w:lang w:val="en-US" w:eastAsia="en-US"/>
        </w:rPr>
        <w:t>TMHMA 2</w:t>
      </w:r>
      <w:r>
        <w:rPr>
          <w:rFonts w:cs="Arial"/>
          <w:b/>
          <w:sz w:val="24"/>
          <w:szCs w:val="24"/>
          <w:u w:val="single"/>
          <w:lang w:val="el-GR" w:eastAsia="en-US"/>
        </w:rPr>
        <w:t>.</w:t>
      </w:r>
      <w:r>
        <w:rPr>
          <w:rFonts w:cs="Calibri"/>
          <w:b/>
          <w:sz w:val="24"/>
          <w:szCs w:val="24"/>
          <w:u w:val="single"/>
          <w:lang w:val="el-GR" w:eastAsia="en-US"/>
        </w:rPr>
        <w:t xml:space="preserve"> </w:t>
      </w:r>
      <w:r>
        <w:rPr>
          <w:rFonts w:cs="Calibri"/>
          <w:b/>
          <w:bCs/>
          <w:sz w:val="24"/>
          <w:szCs w:val="24"/>
          <w:u w:val="single"/>
          <w:shd w:fill="auto" w:val="clear"/>
          <w:lang w:val="el-GR" w:eastAsia="en-US"/>
        </w:rPr>
        <w:t>ΦΥΛΛΟ ΣΥΜΜΟΡΦΩΣΗΣ ΤΕΧΝΙΚΕΣ ΠΡΟΔΙΑΓΡΑΦΕΣ</w:t>
      </w:r>
      <w:r>
        <w:rPr>
          <w:rFonts w:cs="Calibri"/>
          <w:b/>
          <w:sz w:val="24"/>
          <w:szCs w:val="24"/>
          <w:u w:val="single"/>
          <w:lang w:val="el-GR" w:eastAsia="en-US"/>
        </w:rPr>
        <w:t xml:space="preserve">: </w:t>
      </w:r>
      <w:r>
        <w:rPr>
          <w:rFonts w:cs="Calibri"/>
          <w:b/>
          <w:i w:val="false"/>
          <w:strike w:val="false"/>
          <w:dstrike w:val="false"/>
          <w:outline w:val="false"/>
          <w:shadow w:val="false"/>
          <w:sz w:val="24"/>
          <w:szCs w:val="24"/>
          <w:u w:val="single"/>
          <w:em w:val="none"/>
        </w:rPr>
        <w:t xml:space="preserve">ΑΝΟΣΟΕΝΖΥΜΙΚΟΣ ΑΝΑΛΥΤΗΣ ΤΕΧΝΙΚΗ ELISA (Αντιδραστήρια, calibrators, controls με </w:t>
      </w:r>
      <w:r>
        <w:rPr>
          <w:rFonts w:eastAsia="Times New Roman" w:cs="Calibri"/>
          <w:b/>
          <w:bCs/>
          <w:i w:val="false"/>
          <w:strike w:val="false"/>
          <w:dstrike w:val="false"/>
          <w:outline w:val="false"/>
          <w:shadow w:val="false"/>
          <w:color w:val="000000"/>
          <w:sz w:val="24"/>
          <w:szCs w:val="24"/>
          <w:u w:val="single"/>
          <w:shd w:fill="auto" w:val="clear"/>
          <w:em w:val="none"/>
          <w:lang w:val="el-GR" w:eastAsia="zh-CN" w:bidi="ar-SA"/>
        </w:rPr>
        <w:t xml:space="preserve">δωρεάν </w:t>
      </w:r>
      <w:r>
        <w:rPr>
          <w:rFonts w:cs="Calibri"/>
          <w:b/>
          <w:i w:val="false"/>
          <w:strike w:val="false"/>
          <w:dstrike w:val="false"/>
          <w:outline w:val="false"/>
          <w:shadow w:val="false"/>
          <w:sz w:val="24"/>
          <w:szCs w:val="24"/>
          <w:u w:val="single"/>
          <w:em w:val="none"/>
        </w:rPr>
        <w:t>συνοδό εξοπλισμό).</w:t>
      </w:r>
      <w:r>
        <w:rPr>
          <w:rFonts w:cs="Calibri"/>
          <w:b/>
          <w:bCs/>
          <w:i w:val="false"/>
          <w:strike w:val="false"/>
          <w:dstrike w:val="false"/>
          <w:outline w:val="false"/>
          <w:shadow w:val="false"/>
          <w:sz w:val="24"/>
          <w:szCs w:val="24"/>
          <w:u w:val="single"/>
          <w:shd w:fill="auto" w:val="clear"/>
          <w:em w:val="none"/>
        </w:rPr>
        <w:t xml:space="preserve"> </w:t>
      </w:r>
    </w:p>
    <w:p>
      <w:pPr>
        <w:pStyle w:val="Style19"/>
        <w:spacing w:lineRule="auto" w:line="240" w:before="0" w:after="0"/>
        <w:jc w:val="center"/>
        <w:rPr>
          <w:rFonts w:ascii="Calibri" w:hAnsi="Calibri"/>
          <w:sz w:val="24"/>
          <w:szCs w:val="24"/>
        </w:rPr>
      </w:pPr>
      <w:r>
        <w:rPr>
          <w:rFonts w:cs="Calibri"/>
          <w:b/>
          <w:bCs/>
          <w:i w:val="false"/>
          <w:strike w:val="false"/>
          <w:dstrike w:val="false"/>
          <w:outline w:val="false"/>
          <w:shadow w:val="false"/>
          <w:sz w:val="24"/>
          <w:szCs w:val="24"/>
          <w:u w:val="single"/>
          <w:shd w:fill="CCCCCC" w:val="clear"/>
          <w:em w:val="none"/>
          <w:lang w:val="el-GR"/>
        </w:rPr>
        <w:t>ΕΚΤΙΜΩΜΕΝΟΣ ΠΡΟΥΠΟΛΟΓΙΣΜΟΣ: 19.171,20 €</w:t>
      </w:r>
    </w:p>
    <w:tbl>
      <w:tblPr>
        <w:tblW w:w="9341" w:type="dxa"/>
        <w:jc w:val="left"/>
        <w:tblInd w:w="28" w:type="dxa"/>
        <w:tblLayout w:type="fixed"/>
        <w:tblCellMar>
          <w:top w:w="28" w:type="dxa"/>
          <w:left w:w="28" w:type="dxa"/>
          <w:bottom w:w="28" w:type="dxa"/>
          <w:right w:w="28" w:type="dxa"/>
        </w:tblCellMar>
      </w:tblPr>
      <w:tblGrid>
        <w:gridCol w:w="453"/>
        <w:gridCol w:w="5268"/>
        <w:gridCol w:w="1252"/>
        <w:gridCol w:w="2367"/>
      </w:tblGrid>
      <w:tr>
        <w:trPr/>
        <w:tc>
          <w:tcPr>
            <w:tcW w:w="9340" w:type="dxa"/>
            <w:gridSpan w:val="4"/>
            <w:tcBorders>
              <w:top w:val="single" w:sz="2" w:space="0" w:color="000000"/>
              <w:left w:val="single" w:sz="2" w:space="0" w:color="000000"/>
              <w:bottom w:val="single" w:sz="2" w:space="0" w:color="000000"/>
              <w:right w:val="single" w:sz="2" w:space="0" w:color="000000"/>
            </w:tcBorders>
            <w:shd w:fill="CCCCCC" w:val="clear"/>
            <w:vAlign w:val="center"/>
          </w:tcPr>
          <w:p>
            <w:pPr>
              <w:pStyle w:val="Style26"/>
              <w:widowControl w:val="false"/>
              <w:spacing w:before="0" w:after="120"/>
              <w:jc w:val="center"/>
              <w:rPr>
                <w:rFonts w:cs="Calibri"/>
                <w:sz w:val="16"/>
                <w:szCs w:val="16"/>
                <w:lang w:val="el-GR"/>
              </w:rPr>
            </w:pPr>
            <w:r>
              <w:rPr>
                <w:rFonts w:cs="Calibri"/>
                <w:sz w:val="16"/>
                <w:szCs w:val="16"/>
                <w:lang w:val="el-GR"/>
              </w:rPr>
              <w:t>Τεχνικές Προδιαγραφές – Φύλλο Συμόρφωσης</w:t>
            </w:r>
          </w:p>
        </w:tc>
      </w:tr>
      <w:tr>
        <w:trPr/>
        <w:tc>
          <w:tcPr>
            <w:tcW w:w="453" w:type="dxa"/>
            <w:tcBorders>
              <w:left w:val="single" w:sz="2" w:space="0" w:color="000000"/>
              <w:bottom w:val="single" w:sz="2" w:space="0" w:color="000000"/>
            </w:tcBorders>
            <w:vAlign w:val="center"/>
          </w:tcPr>
          <w:p>
            <w:pPr>
              <w:pStyle w:val="Style26"/>
              <w:widowControl w:val="false"/>
              <w:spacing w:before="0" w:after="120"/>
              <w:jc w:val="center"/>
              <w:rPr>
                <w:rFonts w:cs="Calibri"/>
                <w:sz w:val="18"/>
                <w:szCs w:val="18"/>
                <w:lang w:val="el-GR"/>
              </w:rPr>
            </w:pPr>
            <w:r>
              <w:rPr>
                <w:rFonts w:cs="Calibri"/>
                <w:sz w:val="18"/>
                <w:szCs w:val="18"/>
                <w:lang w:val="el-GR"/>
              </w:rPr>
              <w:t>α/α</w:t>
            </w:r>
          </w:p>
        </w:tc>
        <w:tc>
          <w:tcPr>
            <w:tcW w:w="5268" w:type="dxa"/>
            <w:tcBorders>
              <w:left w:val="single" w:sz="2" w:space="0" w:color="000000"/>
              <w:bottom w:val="single" w:sz="2" w:space="0" w:color="000000"/>
            </w:tcBorders>
            <w:vAlign w:val="center"/>
          </w:tcPr>
          <w:p>
            <w:pPr>
              <w:pStyle w:val="Style26"/>
              <w:widowControl w:val="false"/>
              <w:spacing w:before="0" w:after="120"/>
              <w:jc w:val="center"/>
              <w:rPr>
                <w:rFonts w:cs="Calibri"/>
                <w:sz w:val="18"/>
                <w:szCs w:val="18"/>
                <w:lang w:val="el-GR"/>
              </w:rPr>
            </w:pPr>
            <w:r>
              <w:rPr>
                <w:rFonts w:cs="Calibri"/>
                <w:sz w:val="18"/>
                <w:szCs w:val="18"/>
                <w:lang w:val="el-GR"/>
              </w:rPr>
              <w:t>Περιγραφή Τεχνικής Προδιαγραφής</w:t>
            </w:r>
          </w:p>
        </w:tc>
        <w:tc>
          <w:tcPr>
            <w:tcW w:w="1252" w:type="dxa"/>
            <w:tcBorders>
              <w:left w:val="single" w:sz="2" w:space="0" w:color="000000"/>
              <w:bottom w:val="single" w:sz="2" w:space="0" w:color="000000"/>
            </w:tcBorders>
            <w:vAlign w:val="center"/>
          </w:tcPr>
          <w:p>
            <w:pPr>
              <w:pStyle w:val="Style26"/>
              <w:widowControl w:val="false"/>
              <w:spacing w:before="0" w:after="120"/>
              <w:jc w:val="center"/>
              <w:rPr>
                <w:rFonts w:cs="Calibri"/>
                <w:sz w:val="18"/>
                <w:szCs w:val="18"/>
                <w:lang w:val="el-GR"/>
              </w:rPr>
            </w:pPr>
            <w:r>
              <w:rPr>
                <w:rFonts w:cs="Calibri"/>
                <w:sz w:val="18"/>
                <w:szCs w:val="18"/>
                <w:lang w:val="el-GR"/>
              </w:rPr>
              <w:t>Απάντηση Υποψηφίου</w:t>
            </w:r>
          </w:p>
        </w:tc>
        <w:tc>
          <w:tcPr>
            <w:tcW w:w="2367" w:type="dxa"/>
            <w:tcBorders>
              <w:left w:val="single" w:sz="2" w:space="0" w:color="000000"/>
              <w:bottom w:val="single" w:sz="2" w:space="0" w:color="000000"/>
              <w:right w:val="single" w:sz="2" w:space="0" w:color="000000"/>
            </w:tcBorders>
            <w:vAlign w:val="center"/>
          </w:tcPr>
          <w:p>
            <w:pPr>
              <w:pStyle w:val="Style26"/>
              <w:widowControl w:val="false"/>
              <w:spacing w:before="0" w:after="120"/>
              <w:jc w:val="center"/>
              <w:rPr>
                <w:rFonts w:cs="Calibri"/>
                <w:sz w:val="18"/>
                <w:szCs w:val="18"/>
                <w:lang w:val="el-GR"/>
              </w:rPr>
            </w:pPr>
            <w:r>
              <w:rPr>
                <w:rFonts w:cs="Calibri"/>
                <w:sz w:val="18"/>
                <w:szCs w:val="18"/>
                <w:lang w:val="el-GR"/>
              </w:rPr>
              <w:t>Παραπομπή</w:t>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 xml:space="preserve">Να έχει τη δυνατότητα ταυτόχρονου προσδιορισμού διαφορετικών δοκιμασιών </w:t>
            </w:r>
            <w:r>
              <w:rPr>
                <w:sz w:val="18"/>
                <w:szCs w:val="18"/>
                <w:lang w:val="en-US"/>
              </w:rPr>
              <w:t>ELISA</w:t>
            </w:r>
            <w:r>
              <w:rPr>
                <w:sz w:val="18"/>
                <w:szCs w:val="18"/>
              </w:rPr>
              <w:t xml:space="preserve">, (ποσοτικών ή/και ποιοτικών) ανά ασθενή σε πραγματική λειτουργία </w:t>
            </w:r>
            <w:r>
              <w:rPr>
                <w:sz w:val="18"/>
                <w:szCs w:val="18"/>
                <w:lang w:val="en-US"/>
              </w:rPr>
              <w:t>RANDOM</w:t>
            </w:r>
            <w:r>
              <w:rPr>
                <w:sz w:val="18"/>
                <w:szCs w:val="18"/>
              </w:rPr>
              <w:t xml:space="preserve"> </w:t>
            </w:r>
            <w:r>
              <w:rPr>
                <w:sz w:val="18"/>
                <w:szCs w:val="18"/>
                <w:lang w:val="en-US"/>
              </w:rPr>
              <w:t>ACCESS</w:t>
            </w:r>
            <w:r>
              <w:rPr>
                <w:sz w:val="18"/>
                <w:szCs w:val="18"/>
              </w:rPr>
              <w:t>.</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2</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Να είναι μικρών διαστάσεων και να περιλαμβάνει ευανάγνωστη οθόνη, απλό και φιλικό προς τον χρήστη λογισμικό, αναγνώστη barcode και εκτυπωτή.</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3</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eastAsia="zh-CN" w:bidi="ar-SA"/>
              </w:rPr>
              <w:t>Κάθε μικροπλάκα να είναι σε λωρίδα (</w:t>
            </w:r>
            <w:r>
              <w:rPr>
                <w:sz w:val="18"/>
                <w:szCs w:val="18"/>
                <w:lang w:val="en-US" w:eastAsia="zh-CN" w:bidi="ar-SA"/>
              </w:rPr>
              <w:t>STRIP</w:t>
            </w:r>
            <w:r>
              <w:rPr>
                <w:sz w:val="18"/>
                <w:szCs w:val="18"/>
                <w:lang w:val="el-GR" w:eastAsia="zh-CN" w:bidi="ar-SA"/>
              </w:rPr>
              <w:t>) για μία μεμονωμένη δοκιμασία (</w:t>
            </w:r>
            <w:r>
              <w:rPr>
                <w:sz w:val="18"/>
                <w:szCs w:val="18"/>
                <w:lang w:val="en-US" w:eastAsia="zh-CN" w:bidi="ar-SA"/>
              </w:rPr>
              <w:t>monotest</w:t>
            </w:r>
            <w:r>
              <w:rPr>
                <w:sz w:val="18"/>
                <w:szCs w:val="18"/>
                <w:lang w:val="el-GR" w:eastAsia="zh-CN" w:bidi="ar-SA"/>
              </w:rPr>
              <w:t xml:space="preserve">) ώστε να αποκλείεται η σπατάλη κενών θέσεων. Τα απαιτούμενα αντιδραστήρια για τη δοκιμασία να περιλαμβάνονται στο </w:t>
            </w:r>
            <w:r>
              <w:rPr>
                <w:sz w:val="18"/>
                <w:szCs w:val="18"/>
                <w:lang w:val="en-US" w:eastAsia="zh-CN" w:bidi="ar-SA"/>
              </w:rPr>
              <w:t>strip</w:t>
            </w:r>
            <w:r>
              <w:rPr>
                <w:sz w:val="18"/>
                <w:szCs w:val="18"/>
                <w:lang w:val="el-GR" w:eastAsia="zh-CN" w:bidi="ar-SA"/>
              </w:rPr>
              <w:t xml:space="preserve">, ώστε να αποκλείεται και η σπατάλη αντιδραστηρίων. (Όλα τα απαιτούμενα αντιδραστήρια για κάθε δοκιμασία να περιέχονται σε μεμονωμένα </w:t>
            </w:r>
            <w:r>
              <w:rPr>
                <w:sz w:val="18"/>
                <w:szCs w:val="18"/>
                <w:lang w:val="en-US" w:eastAsia="zh-CN" w:bidi="ar-SA"/>
              </w:rPr>
              <w:t>strips</w:t>
            </w:r>
            <w:r>
              <w:rPr>
                <w:sz w:val="18"/>
                <w:szCs w:val="18"/>
                <w:lang w:val="el-GR" w:eastAsia="zh-CN" w:bidi="ar-SA"/>
              </w:rPr>
              <w:t xml:space="preserve"> </w:t>
            </w:r>
            <w:r>
              <w:rPr>
                <w:sz w:val="18"/>
                <w:szCs w:val="18"/>
                <w:lang w:val="en-US" w:eastAsia="zh-CN" w:bidi="ar-SA"/>
              </w:rPr>
              <w:t>ELISA</w:t>
            </w:r>
            <w:r>
              <w:rPr>
                <w:sz w:val="18"/>
                <w:szCs w:val="18"/>
                <w:lang w:val="el-GR" w:eastAsia="zh-CN" w:bidi="ar-SA"/>
              </w:rPr>
              <w:t>, (</w:t>
            </w:r>
            <w:r>
              <w:rPr>
                <w:sz w:val="18"/>
                <w:szCs w:val="18"/>
                <w:lang w:val="en-US" w:eastAsia="zh-CN" w:bidi="ar-SA"/>
              </w:rPr>
              <w:t>monotest</w:t>
            </w:r>
            <w:r>
              <w:rPr>
                <w:sz w:val="18"/>
                <w:szCs w:val="18"/>
                <w:lang w:val="el-GR" w:eastAsia="zh-CN" w:bidi="ar-SA"/>
              </w:rPr>
              <w:t>) ώστε να αποκλείεται η σπατάλη αντιδραστηρίων, η ανεξάρτητη και ταυτόχρονη εκτέλεση ποικίλων διαφορετικών εξετάσεων, και η διατήρηση σταθερού κόστους ανεξαρτήτως του αριθμού των δοκιμασιών σε κάθε κύκλο).</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4</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rPr>
              <w:t xml:space="preserve">Κάθε </w:t>
            </w:r>
            <w:r>
              <w:rPr>
                <w:sz w:val="18"/>
                <w:szCs w:val="18"/>
              </w:rPr>
              <w:t>strip</w:t>
            </w:r>
            <w:r>
              <w:rPr>
                <w:sz w:val="18"/>
                <w:szCs w:val="18"/>
                <w:lang w:val="el-GR"/>
              </w:rPr>
              <w:t xml:space="preserve"> να φέρει γραμμωτό κώδικα (</w:t>
            </w:r>
            <w:r>
              <w:rPr>
                <w:sz w:val="18"/>
                <w:szCs w:val="18"/>
              </w:rPr>
              <w:t>barcode</w:t>
            </w:r>
            <w:r>
              <w:rPr>
                <w:sz w:val="18"/>
                <w:szCs w:val="18"/>
                <w:lang w:val="el-GR"/>
              </w:rPr>
              <w:t>) που θα περιλαμβάνει τις πληροφορίες της πρότυπης καμπύλης της συγκεκριμένης παρτίδας, ή/και τις οριακές τιμές. Να μην απαιτούνται επιπρόσθετες δοκιμασίες για τη βαθμονόμηση ούτε πρόσθετα διαλύματα βαθμονόμησης (</w:t>
            </w:r>
            <w:r>
              <w:rPr>
                <w:sz w:val="18"/>
                <w:szCs w:val="18"/>
              </w:rPr>
              <w:t>calibrators</w:t>
            </w:r>
            <w:r>
              <w:rPr>
                <w:sz w:val="18"/>
                <w:szCs w:val="18"/>
                <w:lang w:val="el-GR"/>
              </w:rPr>
              <w:t xml:space="preserve">). Οι πληροφορίες του </w:t>
            </w:r>
            <w:r>
              <w:rPr>
                <w:sz w:val="18"/>
                <w:szCs w:val="18"/>
              </w:rPr>
              <w:t>barcode</w:t>
            </w:r>
            <w:r>
              <w:rPr>
                <w:sz w:val="18"/>
                <w:szCs w:val="18"/>
                <w:lang w:val="el-GR"/>
              </w:rPr>
              <w:t xml:space="preserve"> να περιλαμβάνουν και επιπρόσθετα στοιχεία (πχ ημερομηνία λήξης του </w:t>
            </w:r>
            <w:r>
              <w:rPr>
                <w:sz w:val="18"/>
                <w:szCs w:val="18"/>
              </w:rPr>
              <w:t>strip</w:t>
            </w:r>
            <w:r>
              <w:rPr>
                <w:sz w:val="18"/>
                <w:szCs w:val="18"/>
                <w:lang w:val="el-GR"/>
              </w:rPr>
              <w:t>, κ.α.).</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5</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rPr>
              <w:t xml:space="preserve">Ο αναλυτής να έχει χωρητικότητα 30 </w:t>
            </w:r>
            <w:r>
              <w:rPr>
                <w:sz w:val="18"/>
                <w:szCs w:val="18"/>
                <w:lang w:val="en-US"/>
              </w:rPr>
              <w:t>strip</w:t>
            </w:r>
            <w:r>
              <w:rPr>
                <w:sz w:val="18"/>
                <w:szCs w:val="18"/>
                <w:lang w:val="el-GR"/>
              </w:rPr>
              <w:t xml:space="preserve"> που να αντιστοιχούν είτε σε 30 ασθενείς, είτε σε λιγότερους με μεγαλύτερο αριθμό δοκιμασιών, χωρίς κάποιο περιορισμό.</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6</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Οι έλεγχοι να ολοκληρώνονται σε λιγότερο από 2 ώρες.</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7</w:t>
            </w:r>
          </w:p>
        </w:tc>
        <w:tc>
          <w:tcPr>
            <w:tcW w:w="5268"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εκτελεί απαραιτήτως τουλάχιστον τις ζητούμενες δοκιμασίες.</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8</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Να χρησιμοποιεί μικρούς όγκους δειγμάτων, χωρίς να απαιτείται η προαραίωσή τους από τον χρήστη.</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9</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Να διατηρεί σταθερές, προτυποποιημένες, ελεγχόμενες συνθήκες κατά τη διεξαγωγή των ελέγχων.</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10</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Να είναι απλό στη χρήση και να απαιτεί ελάχιστη συντήρηση.</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11</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rPr>
              <w:t>O αναλυτής να έχει δυνατότητα αποθήκευσης αποτελεσμάτων μεγάλου αριθμού αποτελεσμάτων και να μπορεί να συνδεθεί με το μηχανογραφικό σύστημα του Νοσοκομείου.</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12</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rPr>
              <w:t xml:space="preserve">Στην περίπτωση που απαιτηθεί, λόγω αύξησης του εκτιμώμενου όγκου δουλειάς του εργαστηρίου, να υπάρχει η δυνατότητα αναβάθμισης με μεγαλύτερης δυναμικότητας αναλυτή, ο οποίος θα πρέπει να κάνει χρήση των ίδιων </w:t>
            </w:r>
            <w:r>
              <w:rPr>
                <w:sz w:val="18"/>
                <w:szCs w:val="18"/>
              </w:rPr>
              <w:t>strip</w:t>
            </w:r>
            <w:r>
              <w:rPr>
                <w:sz w:val="18"/>
                <w:szCs w:val="18"/>
                <w:lang w:val="el-GR"/>
              </w:rPr>
              <w:t xml:space="preserve"> που θα προσφερθούν και θα αξιολογηθούν κατά τη διαγωνιστική διαδικασία, (ώστε να μην υπάρχει πρόβλημα με την προμήθειά τους από το Νοσοκομείο).</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13</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rPr>
              <w:t xml:space="preserve">Θα συνοδεύεται από υπολογιστή, εκτυπωτή, </w:t>
            </w:r>
            <w:r>
              <w:rPr>
                <w:sz w:val="18"/>
                <w:szCs w:val="18"/>
              </w:rPr>
              <w:t>UPS</w:t>
            </w:r>
            <w:r>
              <w:rPr>
                <w:sz w:val="18"/>
                <w:szCs w:val="18"/>
                <w:lang w:val="el-GR"/>
              </w:rPr>
              <w:t xml:space="preserve"> και γενικά όλα τα παρελκόμενα που απαιτούνται για την ομαλή και ασφαλή λειτουργία του. Τα αναλώσιμα που απορρέουν από την χρήση των ανωτέρω αναλυτών και του συστήματος διαχείρισης αποτελεσμάτων (μελάνες εκτυπωτών, κεφαλές εκτυπωτών, τόνερ,) θα επιβαρύνουν τον προμηθευτή.</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14</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l-GR"/>
              </w:rPr>
              <w:t xml:space="preserve">Ο αναλυτής να διαθέτει δυνατότητα αμφίδρομης επικοινωνίας με </w:t>
            </w:r>
            <w:r>
              <w:rPr>
                <w:sz w:val="18"/>
                <w:szCs w:val="18"/>
                <w:lang w:val="en-US"/>
              </w:rPr>
              <w:t>LIS</w:t>
            </w:r>
            <w:r>
              <w:rPr>
                <w:sz w:val="18"/>
                <w:szCs w:val="18"/>
                <w:lang w:val="el-GR"/>
              </w:rPr>
              <w:t xml:space="preserve"> και να μεταφέρει τα αποτελέσματα δειγμάτων και ορών ελέγχου στο </w:t>
            </w:r>
            <w:r>
              <w:rPr>
                <w:sz w:val="18"/>
                <w:szCs w:val="18"/>
                <w:lang w:val="en-US"/>
              </w:rPr>
              <w:t>LIS</w:t>
            </w:r>
            <w:r>
              <w:rPr>
                <w:sz w:val="18"/>
                <w:szCs w:val="18"/>
                <w:lang w:val="el-GR"/>
              </w:rPr>
              <w:t xml:space="preserve"> και η δαπάνη σύνδεσης του με το </w:t>
            </w:r>
            <w:r>
              <w:rPr>
                <w:sz w:val="18"/>
                <w:szCs w:val="18"/>
                <w:lang w:val="en-US"/>
              </w:rPr>
              <w:t>LIS</w:t>
            </w:r>
            <w:r>
              <w:rPr>
                <w:sz w:val="18"/>
                <w:szCs w:val="18"/>
                <w:lang w:val="el-GR"/>
              </w:rPr>
              <w:t xml:space="preserve"> του Εργαστηρίου θα βαρύνει τον προμηθευτή.</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r>
        <w:trPr/>
        <w:tc>
          <w:tcPr>
            <w:tcW w:w="453" w:type="dxa"/>
            <w:tcBorders>
              <w:left w:val="single" w:sz="2" w:space="0" w:color="000000"/>
              <w:bottom w:val="single" w:sz="2" w:space="0" w:color="000000"/>
            </w:tcBorders>
            <w:vAlign w:val="center"/>
          </w:tcPr>
          <w:p>
            <w:pPr>
              <w:pStyle w:val="Style26"/>
              <w:widowControl w:val="false"/>
              <w:snapToGrid w:val="false"/>
              <w:spacing w:before="0" w:after="120"/>
              <w:jc w:val="center"/>
              <w:rPr>
                <w:rFonts w:cs="Calibri"/>
                <w:sz w:val="18"/>
                <w:szCs w:val="18"/>
                <w:lang w:val="el-GR"/>
              </w:rPr>
            </w:pPr>
            <w:r>
              <w:rPr>
                <w:rFonts w:cs="Calibri"/>
                <w:sz w:val="18"/>
                <w:szCs w:val="18"/>
                <w:lang w:val="el-GR"/>
              </w:rPr>
              <w:t>15</w:t>
            </w:r>
          </w:p>
        </w:tc>
        <w:tc>
          <w:tcPr>
            <w:tcW w:w="5268" w:type="dxa"/>
            <w:tcBorders>
              <w:left w:val="single" w:sz="2" w:space="0" w:color="000000"/>
              <w:bottom w:val="single" w:sz="2" w:space="0" w:color="000000"/>
            </w:tcBorders>
            <w:vAlign w:val="center"/>
          </w:tcPr>
          <w:p>
            <w:pPr>
              <w:pStyle w:val="Normal"/>
              <w:widowControl w:val="false"/>
              <w:numPr>
                <w:ilvl w:val="0"/>
                <w:numId w:val="0"/>
              </w:numPr>
              <w:suppressAutoHyphens w:val="true"/>
              <w:bidi w:val="0"/>
              <w:spacing w:lineRule="auto" w:line="276" w:before="0" w:after="200"/>
              <w:ind w:left="0" w:right="0" w:hanging="0"/>
              <w:jc w:val="both"/>
              <w:rPr>
                <w:sz w:val="18"/>
                <w:szCs w:val="18"/>
              </w:rPr>
            </w:pPr>
            <w:r>
              <w:rPr>
                <w:sz w:val="18"/>
                <w:szCs w:val="18"/>
                <w:lang w:val="en-US"/>
              </w:rPr>
              <w:t>H</w:t>
            </w:r>
            <w:r>
              <w:rPr>
                <w:sz w:val="18"/>
                <w:szCs w:val="18"/>
                <w:lang w:val="el-GR"/>
              </w:rPr>
              <w:t xml:space="preserve"> ανάδοχος εταιρεία υποχρεούται να καλύψει το κόστος σύνδεσης των αναλυτών με το υπάρχον σύστημα μηχανοργάνωσης. </w:t>
            </w:r>
            <w:r>
              <w:rPr>
                <w:sz w:val="18"/>
                <w:szCs w:val="18"/>
              </w:rPr>
              <w:t>Η συντήρηση της ως άνω διασύνδεσης θα βαρύνει τον προμηθευτή.</w:t>
            </w:r>
          </w:p>
        </w:tc>
        <w:tc>
          <w:tcPr>
            <w:tcW w:w="1252" w:type="dxa"/>
            <w:tcBorders>
              <w:left w:val="single" w:sz="2" w:space="0" w:color="000000"/>
              <w:bottom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c>
          <w:tcPr>
            <w:tcW w:w="2367" w:type="dxa"/>
            <w:tcBorders>
              <w:left w:val="single" w:sz="2" w:space="0" w:color="000000"/>
              <w:bottom w:val="single" w:sz="2" w:space="0" w:color="000000"/>
              <w:right w:val="single" w:sz="2" w:space="0" w:color="000000"/>
            </w:tcBorders>
            <w:vAlign w:val="center"/>
          </w:tcPr>
          <w:p>
            <w:pPr>
              <w:pStyle w:val="Style26"/>
              <w:widowControl w:val="false"/>
              <w:snapToGrid w:val="false"/>
              <w:spacing w:before="0" w:after="120"/>
              <w:rPr>
                <w:rFonts w:cs="Calibri"/>
                <w:sz w:val="18"/>
                <w:szCs w:val="18"/>
              </w:rPr>
            </w:pPr>
            <w:r>
              <w:rPr>
                <w:rFonts w:cs="Calibri"/>
                <w:sz w:val="18"/>
                <w:szCs w:val="18"/>
              </w:rPr>
            </w:r>
          </w:p>
        </w:tc>
      </w:tr>
    </w:tbl>
    <w:p>
      <w:pPr>
        <w:pStyle w:val="Normal"/>
        <w:spacing w:lineRule="auto" w:line="240" w:before="0" w:after="0"/>
        <w:ind w:left="0" w:right="-126" w:hanging="0"/>
        <w:jc w:val="both"/>
        <w:rPr>
          <w:rFonts w:ascii="Times New Roman" w:hAnsi="Times New Roman" w:cs="Times New Roman"/>
          <w:b/>
          <w:b/>
          <w:bCs/>
          <w:color w:val="002060"/>
          <w:sz w:val="20"/>
          <w:szCs w:val="20"/>
          <w:u w:val="single"/>
        </w:rPr>
      </w:pPr>
      <w:r>
        <w:rPr>
          <w:rFonts w:cs="Times New Roman" w:ascii="Times New Roman" w:hAnsi="Times New Roman"/>
          <w:b/>
          <w:bCs/>
          <w:color w:val="002060"/>
          <w:sz w:val="20"/>
          <w:szCs w:val="20"/>
          <w:u w:val="single"/>
        </w:rPr>
      </w:r>
    </w:p>
    <w:p>
      <w:pPr>
        <w:pStyle w:val="Normal"/>
        <w:spacing w:lineRule="auto" w:line="240" w:before="0" w:after="0"/>
        <w:ind w:left="0" w:right="-126" w:hanging="0"/>
        <w:jc w:val="both"/>
        <w:rPr>
          <w:rFonts w:ascii="Times New Roman" w:hAnsi="Times New Roman" w:cs="Times New Roman"/>
          <w:b/>
          <w:b/>
          <w:bCs/>
          <w:color w:val="002060"/>
          <w:sz w:val="20"/>
          <w:szCs w:val="20"/>
          <w:u w:val="single"/>
        </w:rPr>
      </w:pPr>
      <w:r>
        <w:rPr>
          <w:rFonts w:cs="Times New Roman" w:ascii="Times New Roman" w:hAnsi="Times New Roman"/>
          <w:b/>
          <w:bCs/>
          <w:color w:val="002060"/>
          <w:sz w:val="20"/>
          <w:szCs w:val="20"/>
          <w:u w:val="single"/>
        </w:rPr>
      </w:r>
    </w:p>
    <w:p>
      <w:pPr>
        <w:pStyle w:val="Normal"/>
        <w:spacing w:lineRule="auto" w:line="240" w:before="0" w:after="0"/>
        <w:ind w:left="0" w:right="-126" w:hanging="0"/>
        <w:jc w:val="both"/>
        <w:rPr>
          <w:rFonts w:ascii="Times New Roman" w:hAnsi="Times New Roman" w:cs="Times New Roman"/>
          <w:b/>
          <w:b/>
          <w:bCs/>
          <w:color w:val="002060"/>
          <w:sz w:val="20"/>
          <w:szCs w:val="20"/>
          <w:u w:val="single"/>
        </w:rPr>
      </w:pPr>
      <w:r>
        <w:rPr>
          <w:rFonts w:cs="Times New Roman" w:ascii="Times New Roman" w:hAnsi="Times New Roman"/>
          <w:b/>
          <w:bCs/>
          <w:color w:val="002060"/>
          <w:sz w:val="20"/>
          <w:szCs w:val="20"/>
          <w:u w:val="single"/>
        </w:rPr>
      </w:r>
    </w:p>
    <w:p>
      <w:pPr>
        <w:pStyle w:val="Normal"/>
        <w:spacing w:lineRule="auto" w:line="240" w:before="0" w:after="0"/>
        <w:rPr>
          <w:rFonts w:ascii="Calibri" w:hAnsi="Calibri"/>
          <w:sz w:val="24"/>
          <w:szCs w:val="24"/>
        </w:rPr>
      </w:pPr>
      <w:r>
        <w:rPr>
          <w:rFonts w:cs="Times New Roman"/>
          <w:b/>
          <w:bCs/>
          <w:sz w:val="24"/>
          <w:szCs w:val="24"/>
        </w:rPr>
        <w:t>2.2. ΠΙΝΑΚΑΣ  ΕΞΕΤΑΣΕΩΝ</w:t>
      </w:r>
    </w:p>
    <w:tbl>
      <w:tblPr>
        <w:tblW w:w="9354" w:type="dxa"/>
        <w:jc w:val="left"/>
        <w:tblInd w:w="120" w:type="dxa"/>
        <w:tblLayout w:type="fixed"/>
        <w:tblCellMar>
          <w:top w:w="0" w:type="dxa"/>
          <w:left w:w="108" w:type="dxa"/>
          <w:bottom w:w="0" w:type="dxa"/>
          <w:right w:w="108" w:type="dxa"/>
        </w:tblCellMar>
      </w:tblPr>
      <w:tblGrid>
        <w:gridCol w:w="506"/>
        <w:gridCol w:w="5954"/>
        <w:gridCol w:w="1532"/>
        <w:gridCol w:w="1361"/>
      </w:tblGrid>
      <w:tr>
        <w:trPr>
          <w:trHeight w:val="510" w:hRule="exact"/>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α/α</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ΕΞΕΤΑΣΗ</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Μονάδα Μέτρησης</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Ποσότητα</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1</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ANA</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2</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w:t>
            </w:r>
            <w:r>
              <w:rPr>
                <w:sz w:val="18"/>
                <w:szCs w:val="18"/>
                <w:lang w:val="fr-FR"/>
              </w:rPr>
              <w:t>ELISA</w:t>
            </w:r>
            <w:r>
              <w:rPr>
                <w:sz w:val="18"/>
                <w:szCs w:val="18"/>
              </w:rPr>
              <w:t>)</w:t>
            </w:r>
            <w:r>
              <w:rPr>
                <w:sz w:val="18"/>
                <w:szCs w:val="18"/>
                <w:lang w:val="fr-FR"/>
              </w:rPr>
              <w:t>ds</w:t>
            </w:r>
            <w:r>
              <w:rPr>
                <w:sz w:val="18"/>
                <w:szCs w:val="18"/>
              </w:rPr>
              <w:t xml:space="preserve"> </w:t>
            </w:r>
            <w:r>
              <w:rPr>
                <w:sz w:val="18"/>
                <w:szCs w:val="18"/>
                <w:lang w:val="fr-FR"/>
              </w:rPr>
              <w:t>DNA</w:t>
            </w:r>
            <w:r>
              <w:rPr>
                <w:sz w:val="18"/>
                <w:szCs w:val="18"/>
              </w:rPr>
              <w:t xml:space="preserve"> (με αντιγόνο ειδικό σύμπλεγμα </w:t>
            </w:r>
            <w:r>
              <w:rPr>
                <w:sz w:val="18"/>
                <w:szCs w:val="18"/>
                <w:lang w:val="fr-FR"/>
              </w:rPr>
              <w:t>ds</w:t>
            </w:r>
            <w:r>
              <w:rPr>
                <w:sz w:val="18"/>
                <w:szCs w:val="18"/>
              </w:rPr>
              <w:t xml:space="preserve"> </w:t>
            </w:r>
            <w:r>
              <w:rPr>
                <w:sz w:val="18"/>
                <w:szCs w:val="18"/>
                <w:lang w:val="fr-FR"/>
              </w:rPr>
              <w:t>DNA</w:t>
            </w:r>
            <w:r>
              <w:rPr>
                <w:sz w:val="18"/>
                <w:szCs w:val="18"/>
              </w:rPr>
              <w:t>-νουκλεοσωμάτων)</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3</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 SS-A</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4</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 SS-B</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5</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 Sm</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6</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 Sm/RNP</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7</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anti-Scl-70</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180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8</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anticardiolipinIgG</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9</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anticardiolipinIgM</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lang w:val="de-DE"/>
              </w:rPr>
              <w:t>1</w:t>
            </w:r>
            <w:r>
              <w:rPr>
                <w:sz w:val="18"/>
                <w:szCs w:val="18"/>
                <w:lang w:val="en-US"/>
              </w:rPr>
              <w:t>0</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lang w:val="de-DE"/>
              </w:rPr>
              <w:t xml:space="preserve">(ELISA) </w:t>
            </w:r>
            <w:r>
              <w:rPr>
                <w:sz w:val="18"/>
                <w:szCs w:val="18"/>
              </w:rPr>
              <w:t>β</w:t>
            </w:r>
            <w:r>
              <w:rPr>
                <w:sz w:val="18"/>
                <w:szCs w:val="18"/>
                <w:lang w:val="de-DE"/>
              </w:rPr>
              <w:t>2-glucoprotein IgG</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1</w:t>
            </w:r>
            <w:r>
              <w:rPr>
                <w:sz w:val="18"/>
                <w:szCs w:val="18"/>
                <w:lang w:val="en-US"/>
              </w:rPr>
              <w:t>1</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lang w:val="de-DE"/>
              </w:rPr>
              <w:t xml:space="preserve">(ELISA) </w:t>
            </w:r>
            <w:r>
              <w:rPr>
                <w:sz w:val="18"/>
                <w:szCs w:val="18"/>
              </w:rPr>
              <w:t>β</w:t>
            </w:r>
            <w:r>
              <w:rPr>
                <w:sz w:val="18"/>
                <w:szCs w:val="18"/>
                <w:lang w:val="de-DE"/>
              </w:rPr>
              <w:t>2-glucoprotein IgM</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lang w:val="fr-FR"/>
              </w:rPr>
              <w:t>1</w:t>
            </w:r>
            <w:r>
              <w:rPr>
                <w:sz w:val="18"/>
                <w:szCs w:val="18"/>
                <w:lang w:val="en-US"/>
              </w:rPr>
              <w:t>2</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p-ANCA</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270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lang w:val="fr-FR"/>
              </w:rPr>
              <w:t>1</w:t>
            </w:r>
            <w:r>
              <w:rPr>
                <w:sz w:val="18"/>
                <w:szCs w:val="18"/>
                <w:lang w:val="en-US"/>
              </w:rPr>
              <w:t>3</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c-ANCA</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270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14</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AMA</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r>
        <w:trPr/>
        <w:tc>
          <w:tcPr>
            <w:tcW w:w="506"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15</w:t>
            </w:r>
          </w:p>
        </w:tc>
        <w:tc>
          <w:tcPr>
            <w:tcW w:w="5954"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(ELISA) ACCP</w:t>
            </w:r>
          </w:p>
        </w:tc>
        <w:tc>
          <w:tcPr>
            <w:tcW w:w="1532" w:type="dxa"/>
            <w:tcBorders>
              <w:top w:val="single" w:sz="4" w:space="0" w:color="000000"/>
              <w:left w:val="single" w:sz="4" w:space="0" w:color="000000"/>
              <w:bottom w:val="single" w:sz="4" w:space="0" w:color="000000"/>
            </w:tcBorders>
          </w:tcPr>
          <w:p>
            <w:pPr>
              <w:pStyle w:val="Normal"/>
              <w:widowControl w:val="false"/>
              <w:spacing w:before="0" w:after="200"/>
              <w:rPr>
                <w:rFonts w:ascii="Calibri" w:hAnsi="Calibri"/>
                <w:sz w:val="18"/>
                <w:szCs w:val="18"/>
              </w:rPr>
            </w:pPr>
            <w:r>
              <w:rPr>
                <w:sz w:val="18"/>
                <w:szCs w:val="18"/>
              </w:rPr>
              <w:t>Εξέταση</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Calibri" w:hAnsi="Calibri"/>
                <w:sz w:val="18"/>
                <w:szCs w:val="18"/>
              </w:rPr>
            </w:pPr>
            <w:r>
              <w:rPr>
                <w:sz w:val="18"/>
                <w:szCs w:val="18"/>
              </w:rPr>
              <w:t>90</w:t>
            </w:r>
          </w:p>
        </w:tc>
      </w:tr>
    </w:tbl>
    <w:p>
      <w:pPr>
        <w:pStyle w:val="Style19"/>
        <w:spacing w:lineRule="auto" w:line="240" w:before="0" w:after="0"/>
        <w:jc w:val="center"/>
        <w:rPr>
          <w:sz w:val="24"/>
          <w:szCs w:val="24"/>
        </w:rPr>
      </w:pPr>
      <w:r>
        <w:rPr>
          <w:rFonts w:cs="Calibri"/>
          <w:b/>
          <w:sz w:val="24"/>
          <w:szCs w:val="24"/>
          <w:u w:val="single"/>
          <w:lang w:val="el-GR" w:eastAsia="en-US"/>
        </w:rPr>
        <w:t xml:space="preserve">ΤΜΗΜΑ 3. </w:t>
      </w:r>
      <w:r>
        <w:rPr>
          <w:rFonts w:cs="Calibri"/>
          <w:b/>
          <w:bCs/>
          <w:sz w:val="24"/>
          <w:szCs w:val="24"/>
          <w:u w:val="single"/>
          <w:shd w:fill="auto" w:val="clear"/>
          <w:lang w:val="el-GR" w:eastAsia="en-US"/>
        </w:rPr>
        <w:t xml:space="preserve">ΦΥΛΛΟ ΣΥΜΜΟΡΦΩΣΗΣ ΤΕΧΝΙΚΕΣ ΠΡΟΔΙΑΓΡΑΦΕΣ </w:t>
      </w:r>
      <w:r>
        <w:rPr>
          <w:rFonts w:cs="Calibri"/>
          <w:b/>
          <w:sz w:val="24"/>
          <w:szCs w:val="24"/>
          <w:u w:val="single"/>
          <w:lang w:val="el-GR" w:eastAsia="en-US"/>
        </w:rPr>
        <w:t xml:space="preserve">:  </w:t>
      </w:r>
      <w:r>
        <w:rPr>
          <w:rFonts w:cs="Calibri"/>
          <w:b/>
          <w:i w:val="false"/>
          <w:strike w:val="false"/>
          <w:dstrike w:val="false"/>
          <w:outline w:val="false"/>
          <w:shadow w:val="false"/>
          <w:sz w:val="24"/>
          <w:szCs w:val="24"/>
          <w:u w:val="single"/>
          <w:em w:val="none"/>
          <w:lang w:val="el-GR" w:eastAsia="en-US"/>
        </w:rPr>
        <w:t>Σ</w:t>
      </w:r>
      <w:r>
        <w:rPr>
          <w:rFonts w:cs="Calibri"/>
          <w:b/>
          <w:i w:val="false"/>
          <w:strike w:val="false"/>
          <w:dstrike w:val="false"/>
          <w:outline w:val="false"/>
          <w:shadow w:val="false"/>
          <w:sz w:val="24"/>
          <w:szCs w:val="24"/>
          <w:u w:val="single"/>
          <w:em w:val="none"/>
        </w:rPr>
        <w:t>ΥΣΤΗΜΑ ΗΛΕΚΤΡΟΦ</w:t>
      </w:r>
      <w:r>
        <w:rPr>
          <w:rFonts w:cs="Calibri"/>
          <w:b/>
          <w:i w:val="false"/>
          <w:strike w:val="false"/>
          <w:dstrike w:val="false"/>
          <w:outline w:val="false"/>
          <w:shadow w:val="false"/>
          <w:sz w:val="24"/>
          <w:szCs w:val="24"/>
          <w:u w:val="single"/>
          <w:em w:val="none"/>
          <w:lang w:val="el-GR"/>
        </w:rPr>
        <w:t xml:space="preserve">ΟΡΗΣΗΣ </w:t>
      </w:r>
      <w:r>
        <w:rPr>
          <w:rFonts w:cs="Calibri"/>
          <w:b/>
          <w:i w:val="false"/>
          <w:strike w:val="false"/>
          <w:dstrike w:val="false"/>
          <w:outline w:val="false"/>
          <w:shadow w:val="false"/>
          <w:sz w:val="24"/>
          <w:szCs w:val="24"/>
          <w:u w:val="single"/>
          <w:em w:val="none"/>
        </w:rPr>
        <w:t xml:space="preserve">- ΑΝΟΣΟΚΑΘΗΛΩΣΗΣ (Αντιδραστήρια, calibrators, controls με </w:t>
      </w:r>
      <w:r>
        <w:rPr>
          <w:rFonts w:eastAsia="Times New Roman" w:cs="Calibri"/>
          <w:b/>
          <w:bCs/>
          <w:i w:val="false"/>
          <w:strike w:val="false"/>
          <w:dstrike w:val="false"/>
          <w:outline w:val="false"/>
          <w:shadow w:val="false"/>
          <w:color w:val="000000"/>
          <w:sz w:val="24"/>
          <w:szCs w:val="24"/>
          <w:u w:val="single"/>
          <w:shd w:fill="auto" w:val="clear"/>
          <w:em w:val="none"/>
          <w:lang w:val="el-GR" w:eastAsia="zh-CN" w:bidi="ar-SA"/>
        </w:rPr>
        <w:t xml:space="preserve">δωρεάν </w:t>
      </w:r>
      <w:r>
        <w:rPr>
          <w:rFonts w:cs="Calibri"/>
          <w:b/>
          <w:i w:val="false"/>
          <w:strike w:val="false"/>
          <w:dstrike w:val="false"/>
          <w:outline w:val="false"/>
          <w:shadow w:val="false"/>
          <w:sz w:val="24"/>
          <w:szCs w:val="24"/>
          <w:u w:val="single"/>
          <w:em w:val="none"/>
        </w:rPr>
        <w:t>συνοδό εξοπλισμό).</w:t>
      </w:r>
      <w:r>
        <w:rPr>
          <w:rFonts w:cs="Calibri"/>
          <w:b/>
          <w:bCs/>
          <w:i w:val="false"/>
          <w:strike w:val="false"/>
          <w:dstrike w:val="false"/>
          <w:outline w:val="false"/>
          <w:shadow w:val="false"/>
          <w:sz w:val="24"/>
          <w:szCs w:val="24"/>
          <w:u w:val="single"/>
          <w:shd w:fill="auto" w:val="clear"/>
          <w:em w:val="none"/>
        </w:rPr>
        <w:t xml:space="preserve"> </w:t>
      </w:r>
    </w:p>
    <w:p>
      <w:pPr>
        <w:pStyle w:val="Style19"/>
        <w:spacing w:lineRule="auto" w:line="240" w:before="0" w:after="0"/>
        <w:jc w:val="center"/>
        <w:rPr>
          <w:sz w:val="24"/>
          <w:szCs w:val="24"/>
        </w:rPr>
      </w:pPr>
      <w:r>
        <w:rPr>
          <w:rFonts w:cs="Calibri"/>
          <w:b/>
          <w:bCs/>
          <w:i w:val="false"/>
          <w:strike w:val="false"/>
          <w:dstrike w:val="false"/>
          <w:outline w:val="false"/>
          <w:shadow w:val="false"/>
          <w:sz w:val="24"/>
          <w:szCs w:val="24"/>
          <w:u w:val="single"/>
          <w:shd w:fill="CCCCCC" w:val="clear"/>
          <w:em w:val="none"/>
          <w:lang w:val="el-GR"/>
        </w:rPr>
        <w:t>ΕΚΤΙΜΩΜΕΝΟΣ ΠΡΟΥΠΟΛΟΓΙΣΜΟΣ: 6.420,00 €</w:t>
      </w:r>
    </w:p>
    <w:tbl>
      <w:tblPr>
        <w:tblW w:w="9320" w:type="dxa"/>
        <w:jc w:val="left"/>
        <w:tblInd w:w="49" w:type="dxa"/>
        <w:tblLayout w:type="fixed"/>
        <w:tblCellMar>
          <w:top w:w="28" w:type="dxa"/>
          <w:left w:w="28" w:type="dxa"/>
          <w:bottom w:w="28" w:type="dxa"/>
          <w:right w:w="28" w:type="dxa"/>
        </w:tblCellMar>
      </w:tblPr>
      <w:tblGrid>
        <w:gridCol w:w="491"/>
        <w:gridCol w:w="6293"/>
        <w:gridCol w:w="1015"/>
        <w:gridCol w:w="1520"/>
      </w:tblGrid>
      <w:tr>
        <w:trPr/>
        <w:tc>
          <w:tcPr>
            <w:tcW w:w="9319" w:type="dxa"/>
            <w:gridSpan w:val="4"/>
            <w:tcBorders>
              <w:top w:val="single" w:sz="2" w:space="0" w:color="000000"/>
              <w:left w:val="single" w:sz="2" w:space="0" w:color="000000"/>
              <w:bottom w:val="single" w:sz="2" w:space="0" w:color="000000"/>
              <w:right w:val="single" w:sz="2" w:space="0" w:color="000000"/>
            </w:tcBorders>
            <w:shd w:fill="CCCCCC" w:val="clear"/>
            <w:vAlign w:val="center"/>
          </w:tcPr>
          <w:p>
            <w:pPr>
              <w:pStyle w:val="Normal"/>
              <w:widowControl w:val="false"/>
              <w:spacing w:before="0" w:after="200"/>
              <w:rPr>
                <w:rFonts w:cs="Calibri"/>
                <w:sz w:val="16"/>
                <w:szCs w:val="16"/>
                <w:lang w:val="el-GR"/>
              </w:rPr>
            </w:pPr>
            <w:r>
              <w:rPr/>
              <w:t>Τεχνικές Προδιαγραφές – Φύλλο Συμόρφωσης</w:t>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α/α</w:t>
            </w:r>
          </w:p>
        </w:tc>
        <w:tc>
          <w:tcPr>
            <w:tcW w:w="6293"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Περιγραφή Τεχνικής Προδιαγραφής</w:t>
            </w:r>
          </w:p>
        </w:tc>
        <w:tc>
          <w:tcPr>
            <w:tcW w:w="1015"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Απάντηση Υποψηφίου</w:t>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sz w:val="18"/>
                <w:szCs w:val="18"/>
              </w:rPr>
            </w:pPr>
            <w:r>
              <w:rPr>
                <w:sz w:val="18"/>
                <w:szCs w:val="18"/>
              </w:rPr>
              <w:t>Παραπομπή</w:t>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Το σύστημα να είναι σύγχρονης τεχνολογίας και αυτοματοποιημένο σε όλα τα στάδια της εξέτασης: εναπόθεση δείγματος, ηλεκτροφόρηση, επώαση, χρώση- αποχρωματισμό, στέγνωμα, εξαγωγή αποτελεσμάτων.</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2</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είναι όσο το δυνατόν μικρών διαστάσεων, επιτραπέζιο και απλό στο χειρισμό.</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3</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Όλες οι φάσεις της διαδικασίας να ελέγχονται από το πρόγραμμα για άριστα αποτελέσματα και να ειδοποιεί για τυχόν προβλήματα.</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4</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διαθέτει ειδικούς φορείς δειγμάτων μιάς χρήσεως για ασφάλεια του χειριστή.</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5</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Η εναπόθεση του δείγματος να γίνεται με ειδικούς επιθέτες μιας χρήσεως αυτόματα από το μηχάνημα για άριστη εφαρμογή &amp; ασφάλεια του χειριστή και να απαιτείται μικρός όγκος δείγματος.</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6</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Το δείγμα να τοποθετείται άμεσα και χωρίς προεργασία πριν την εναπόθεση για αποφυγή παρακράτησης κλασμάτων πρωτεϊνών και διασφάλιση της ποιότητας των αποτελεσμάτων. Επίσης να διαθέτει τη δυνατότητα ψύξης του gel κατά την ηλεκτροφόρηση για διασφάλιση αυξημένης ανάλυσης.</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7</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Το δείγμα των ούρων να χρησιμοποιείται χωρίς συμπύκνωση.</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8</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έχει τη δυνατότητα να τρέξει ταυτόχρονα στην ίδια ταινία διαφορετικούς τύπους δειγμάτων (πχ ορό και ούρα).</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9</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Ο χρόνος διαδικασίας της εξέτασης να είναι ο μικρότερος δυνατός. Να αναφερθούν ενδεικτικοί χρόνοι προς αξιολόγηση.</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10</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Τα προγράμματα – πρωτόκολλα να είναι ανοιχτά για τυχόν ρυθμίσεις από τον χειριστή, το δε πρόγραμμα λειτουργίας να είναι το απλούστερο δυνατόν.</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11</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διαθέτει σύστημα ελέγχου της τάσης ρεύματος και της θερμοκρασίας με στοιχεία Peltier.</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12</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 xml:space="preserve">Να εκτελεί μεγάλο εύρος εξετάσεων ηλεκτροφόρησης σε έτοιμα </w:t>
            </w:r>
            <w:r>
              <w:rPr>
                <w:sz w:val="18"/>
                <w:szCs w:val="18"/>
                <w:lang w:val="en-US"/>
              </w:rPr>
              <w:t>Gel</w:t>
            </w:r>
            <w:r>
              <w:rPr>
                <w:sz w:val="18"/>
                <w:szCs w:val="18"/>
              </w:rPr>
              <w:t xml:space="preserve"> αγαρόζης, όπως: Πρωτεΐνες ορού και ούρων, Ανοσοκαθήλωση ορού και ούρων, </w:t>
            </w:r>
            <w:r>
              <w:rPr>
                <w:sz w:val="18"/>
                <w:szCs w:val="18"/>
                <w:lang w:val="en-US"/>
              </w:rPr>
              <w:t>Screening</w:t>
            </w:r>
            <w:r>
              <w:rPr>
                <w:sz w:val="18"/>
                <w:szCs w:val="18"/>
              </w:rPr>
              <w:t xml:space="preserve"> εξέταση σε ούρα, Εξέταση </w:t>
            </w:r>
            <w:r>
              <w:rPr>
                <w:sz w:val="18"/>
                <w:szCs w:val="18"/>
                <w:lang w:val="en-US"/>
              </w:rPr>
              <w:t>Bences</w:t>
            </w:r>
            <w:r>
              <w:rPr>
                <w:sz w:val="18"/>
                <w:szCs w:val="18"/>
              </w:rPr>
              <w:t>-</w:t>
            </w:r>
            <w:r>
              <w:rPr>
                <w:sz w:val="18"/>
                <w:szCs w:val="18"/>
                <w:lang w:val="en-US"/>
              </w:rPr>
              <w:t>Jones</w:t>
            </w:r>
            <w:r>
              <w:rPr>
                <w:sz w:val="18"/>
                <w:szCs w:val="18"/>
              </w:rPr>
              <w:t xml:space="preserve"> σε ούρα, </w:t>
            </w:r>
            <w:r>
              <w:rPr>
                <w:sz w:val="18"/>
                <w:szCs w:val="18"/>
                <w:lang w:val="en-US"/>
              </w:rPr>
              <w:t>A</w:t>
            </w:r>
            <w:r>
              <w:rPr>
                <w:sz w:val="18"/>
                <w:szCs w:val="18"/>
              </w:rPr>
              <w:t xml:space="preserve">λκαλική Αιμοσφαιρίνη, Όξινη Αιμοσφαιρίνη, </w:t>
            </w:r>
            <w:r>
              <w:rPr>
                <w:sz w:val="18"/>
                <w:szCs w:val="18"/>
                <w:lang w:val="en-US"/>
              </w:rPr>
              <w:t>Lipoprotein</w:t>
            </w:r>
            <w:r>
              <w:rPr>
                <w:sz w:val="18"/>
                <w:szCs w:val="18"/>
              </w:rPr>
              <w:t xml:space="preserve">, </w:t>
            </w:r>
            <w:r>
              <w:rPr>
                <w:sz w:val="18"/>
                <w:szCs w:val="18"/>
                <w:lang w:val="en-US"/>
              </w:rPr>
              <w:t>HDL</w:t>
            </w:r>
            <w:r>
              <w:rPr>
                <w:sz w:val="18"/>
                <w:szCs w:val="18"/>
              </w:rPr>
              <w:t xml:space="preserve">, </w:t>
            </w:r>
            <w:r>
              <w:rPr>
                <w:sz w:val="18"/>
                <w:szCs w:val="18"/>
                <w:lang w:val="en-US"/>
              </w:rPr>
              <w:t>Cholesterol</w:t>
            </w:r>
            <w:r>
              <w:rPr>
                <w:sz w:val="18"/>
                <w:szCs w:val="18"/>
              </w:rPr>
              <w:t xml:space="preserve">, Ισοένζυμα </w:t>
            </w:r>
            <w:r>
              <w:rPr>
                <w:sz w:val="18"/>
                <w:szCs w:val="18"/>
                <w:lang w:val="en-US"/>
              </w:rPr>
              <w:t>ALP</w:t>
            </w:r>
            <w:r>
              <w:rPr>
                <w:sz w:val="18"/>
                <w:szCs w:val="18"/>
              </w:rPr>
              <w:t>/</w:t>
            </w:r>
            <w:r>
              <w:rPr>
                <w:sz w:val="18"/>
                <w:szCs w:val="18"/>
                <w:lang w:val="en-US"/>
              </w:rPr>
              <w:t>CK</w:t>
            </w:r>
            <w:r>
              <w:rPr>
                <w:sz w:val="18"/>
                <w:szCs w:val="18"/>
              </w:rPr>
              <w:t>/</w:t>
            </w:r>
            <w:r>
              <w:rPr>
                <w:sz w:val="18"/>
                <w:szCs w:val="18"/>
                <w:lang w:val="en-US"/>
              </w:rPr>
              <w:t>LD</w:t>
            </w:r>
            <w:r>
              <w:rPr>
                <w:sz w:val="18"/>
                <w:szCs w:val="18"/>
              </w:rPr>
              <w:t xml:space="preserve">, </w:t>
            </w:r>
            <w:r>
              <w:rPr>
                <w:sz w:val="18"/>
                <w:szCs w:val="18"/>
                <w:lang w:val="en-US"/>
              </w:rPr>
              <w:t>IgG</w:t>
            </w:r>
            <w:r>
              <w:rPr>
                <w:sz w:val="18"/>
                <w:szCs w:val="18"/>
              </w:rPr>
              <w:t xml:space="preserve"> </w:t>
            </w:r>
            <w:r>
              <w:rPr>
                <w:sz w:val="18"/>
                <w:szCs w:val="18"/>
                <w:lang w:val="en-US"/>
              </w:rPr>
              <w:t>IEF</w:t>
            </w:r>
            <w:r>
              <w:rPr>
                <w:sz w:val="18"/>
                <w:szCs w:val="18"/>
              </w:rPr>
              <w:t xml:space="preserve"> και άλλες προς αξιολόγηση.</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13</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Τα προσφερόμενα κιτ αντιδραστηρίων να είναι πλήρη περιέχοντας όλα τα απαιτούμενα για την εξέταση (ταινίες, αραιωτικά, διαλύματα χρώσης-αποχρωματισμού, στυπόχαρτα κλπ). Να προσφερθούν ξεχωριστά όλα τα λοιπά κοινά αναλώσιμα που απαιτεί το σύστημα.</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14</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διατίθεται εσωτερικός ποιοτικός έλεγχος της ίδιας κατασκευάστριας εταιρείας για όλες τις ζητούμενες εξετάσεις.</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15</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lang w:eastAsia="en-US"/>
              </w:rPr>
              <w:t xml:space="preserve">Το σύστημα να συνοδεύεται από πλήρη Η/Υ με όλα τα παρελκόμενα, </w:t>
            </w:r>
            <w:r>
              <w:rPr>
                <w:sz w:val="18"/>
                <w:szCs w:val="18"/>
                <w:lang w:val="en-US" w:eastAsia="en-US"/>
              </w:rPr>
              <w:t>scanner</w:t>
            </w:r>
            <w:r>
              <w:rPr>
                <w:sz w:val="18"/>
                <w:szCs w:val="18"/>
                <w:lang w:eastAsia="en-US"/>
              </w:rPr>
              <w:t xml:space="preserve"> υψηλής ευκρίνειας και εξελιγμένο λογισμικό επεξεργασίας των αποτελεσμάτων.</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rHeight w:val="688" w:hRule="atLeast"/>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16</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 xml:space="preserve">Το λογισμικό επεξεργασίας των αποτελεσμάτων να είναι σε περιβάλλον </w:t>
            </w:r>
            <w:r>
              <w:rPr>
                <w:sz w:val="18"/>
                <w:szCs w:val="18"/>
                <w:lang w:val="en-US"/>
              </w:rPr>
              <w:t>Windows</w:t>
            </w:r>
            <w:r>
              <w:rPr>
                <w:sz w:val="18"/>
                <w:szCs w:val="18"/>
              </w:rPr>
              <w:t xml:space="preserve">, απλό στη χρήση και να μπορεί χρησιμοποιηθεί με όλα τα </w:t>
            </w:r>
            <w:r>
              <w:rPr>
                <w:sz w:val="18"/>
                <w:szCs w:val="18"/>
                <w:lang w:val="en-US"/>
              </w:rPr>
              <w:t>G</w:t>
            </w:r>
            <w:r>
              <w:rPr>
                <w:sz w:val="18"/>
                <w:szCs w:val="18"/>
              </w:rPr>
              <w:t xml:space="preserve">el του συστήματος. Να διαθέτει διαγράμματα ποιοτικού ελέγχου και να δίνει τη δυνατότητα στο χειριστή να επεξεργαστεί πλήρως την εικόνα του </w:t>
            </w:r>
            <w:r>
              <w:rPr>
                <w:sz w:val="18"/>
                <w:szCs w:val="18"/>
                <w:lang w:val="en-US"/>
              </w:rPr>
              <w:t>G</w:t>
            </w:r>
            <w:r>
              <w:rPr>
                <w:sz w:val="18"/>
                <w:szCs w:val="18"/>
              </w:rPr>
              <w:t xml:space="preserve">el. Να έχει την δυνατότητα αποθήκευσης αποτελεσμάτων ασθενών και εύκολης αναζήτησης τους. Να δίνει αναφορές αποτελεσμάτων ασθενών πλήρως προσαρμοσμένες στις ανάγκες και τις απαιτήσεις του εργαστηρίου. Να έχει τη δυνατότητα να συμπεριλαμβάνει σχόλια αποτελεσμάτων στις αναφορές ασθενών. Να μπορεί στο απαντητικό της ηλεκτροφόρησης πρωτεϊνών να συμπεριλαμβάνει και τα αποτελέσματα της ανοσοκαθήλωσης. Να έχει τη δυνατότητα αμφίδρομης διασύνδεσης με </w:t>
            </w:r>
            <w:r>
              <w:rPr>
                <w:sz w:val="18"/>
                <w:szCs w:val="18"/>
                <w:lang w:val="en-US"/>
              </w:rPr>
              <w:t>LIS</w:t>
            </w:r>
            <w:r>
              <w:rPr>
                <w:sz w:val="18"/>
                <w:szCs w:val="18"/>
              </w:rPr>
              <w:t>. Να μπορεί να γράφει &amp; να εκτυπώνει στα Ελληνικά.</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17</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Ο προμηθευτής να διαθέτει αποδεδειγμένα τμήμα τεχνικής &amp; επιστημονικής υποστήριξης για την άμεση επίλυση προβλημάτων στο μικρότερο δυνατό διάστημα.</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18</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rPr>
              <w:t>Να διαθέτει CE MARK, καθώς επίσης να δοθεί κατάλογος εγκατεστημένων μηχανημάτων, προς αξιολόγηση.</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r>
        <w:trPr/>
        <w:tc>
          <w:tcPr>
            <w:tcW w:w="491"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19</w:t>
            </w:r>
          </w:p>
        </w:tc>
        <w:tc>
          <w:tcPr>
            <w:tcW w:w="6293" w:type="dxa"/>
            <w:tcBorders>
              <w:left w:val="single" w:sz="2" w:space="0" w:color="000000"/>
              <w:bottom w:val="single" w:sz="2" w:space="0" w:color="000000"/>
            </w:tcBorders>
            <w:vAlign w:val="center"/>
          </w:tcPr>
          <w:p>
            <w:pPr>
              <w:pStyle w:val="Normal"/>
              <w:widowControl w:val="false"/>
              <w:spacing w:before="0" w:after="200"/>
              <w:jc w:val="both"/>
              <w:rPr>
                <w:sz w:val="18"/>
                <w:szCs w:val="18"/>
              </w:rPr>
            </w:pPr>
            <w:r>
              <w:rPr>
                <w:sz w:val="18"/>
                <w:szCs w:val="18"/>
                <w:lang w:val="en-US" w:eastAsia="zh-CN" w:bidi="ar-SA"/>
              </w:rPr>
              <w:t>H</w:t>
            </w:r>
            <w:r>
              <w:rPr>
                <w:sz w:val="18"/>
                <w:szCs w:val="18"/>
                <w:lang w:val="el-GR" w:eastAsia="zh-CN" w:bidi="ar-SA"/>
              </w:rPr>
              <w:t xml:space="preserve"> ανάδοχος εταιρεία υποχρεούται να καλύψει το κόστος σύνδεσης των αναλυτών με το υπάρχον σύστημα μηχανοργάνωσης. </w:t>
            </w:r>
            <w:r>
              <w:rPr>
                <w:sz w:val="18"/>
                <w:szCs w:val="18"/>
                <w:lang w:val="en-US" w:eastAsia="zh-CN" w:bidi="ar-SA"/>
              </w:rPr>
              <w:t>Η συντήρηση της ως άνω διασύνδεσης θα βαρύνει τον προμηθευτή.</w:t>
            </w:r>
          </w:p>
        </w:tc>
        <w:tc>
          <w:tcPr>
            <w:tcW w:w="1015" w:type="dxa"/>
            <w:tcBorders>
              <w:left w:val="single" w:sz="2" w:space="0" w:color="000000"/>
              <w:bottom w:val="single" w:sz="2" w:space="0" w:color="000000"/>
            </w:tcBorders>
            <w:vAlign w:val="center"/>
          </w:tcPr>
          <w:p>
            <w:pPr>
              <w:pStyle w:val="Normal"/>
              <w:widowControl w:val="false"/>
              <w:spacing w:before="0" w:after="200"/>
              <w:rPr>
                <w:rFonts w:cs="Calibri"/>
                <w:sz w:val="18"/>
                <w:szCs w:val="18"/>
              </w:rPr>
            </w:pPr>
            <w:r>
              <w:rPr>
                <w:rFonts w:cs="Calibri"/>
                <w:sz w:val="18"/>
                <w:szCs w:val="18"/>
              </w:rPr>
            </w:r>
          </w:p>
        </w:tc>
        <w:tc>
          <w:tcPr>
            <w:tcW w:w="1520" w:type="dxa"/>
            <w:tcBorders>
              <w:left w:val="single" w:sz="2" w:space="0" w:color="000000"/>
              <w:bottom w:val="single" w:sz="2" w:space="0" w:color="000000"/>
              <w:right w:val="single" w:sz="2" w:space="0" w:color="000000"/>
            </w:tcBorders>
            <w:vAlign w:val="center"/>
          </w:tcPr>
          <w:p>
            <w:pPr>
              <w:pStyle w:val="Normal"/>
              <w:widowControl w:val="false"/>
              <w:spacing w:before="0" w:after="200"/>
              <w:rPr>
                <w:rFonts w:cs="Calibri"/>
                <w:sz w:val="18"/>
                <w:szCs w:val="18"/>
              </w:rPr>
            </w:pPr>
            <w:r>
              <w:rPr>
                <w:rFonts w:cs="Calibri"/>
                <w:sz w:val="18"/>
                <w:szCs w:val="18"/>
              </w:rPr>
            </w:r>
          </w:p>
        </w:tc>
      </w:tr>
    </w:tbl>
    <w:p>
      <w:pPr>
        <w:pStyle w:val="Normal"/>
        <w:spacing w:lineRule="auto" w:line="240" w:before="0" w:after="0"/>
        <w:rPr>
          <w:rFonts w:ascii="Times New Roman" w:hAnsi="Times New Roman" w:cs="Times New Roman"/>
          <w:b/>
          <w:b/>
          <w:bCs/>
          <w:sz w:val="18"/>
          <w:szCs w:val="18"/>
        </w:rPr>
      </w:pPr>
      <w:r>
        <w:rPr>
          <w:rFonts w:cs="Times New Roman" w:ascii="Times New Roman" w:hAnsi="Times New Roman"/>
          <w:b/>
          <w:bCs/>
          <w:sz w:val="18"/>
          <w:szCs w:val="18"/>
        </w:rPr>
      </w:r>
    </w:p>
    <w:p>
      <w:pPr>
        <w:pStyle w:val="Normal"/>
        <w:spacing w:lineRule="auto" w:line="240" w:before="0" w:after="0"/>
        <w:rPr>
          <w:rFonts w:ascii="Times New Roman" w:hAnsi="Times New Roman" w:cs="Times New Roman"/>
          <w:b/>
          <w:b/>
          <w:bCs/>
          <w:sz w:val="18"/>
          <w:szCs w:val="18"/>
        </w:rPr>
      </w:pPr>
      <w:r>
        <w:rPr>
          <w:rFonts w:cs="Times New Roman" w:ascii="Times New Roman" w:hAnsi="Times New Roman"/>
          <w:b/>
          <w:bCs/>
          <w:sz w:val="18"/>
          <w:szCs w:val="18"/>
        </w:rPr>
      </w:r>
    </w:p>
    <w:p>
      <w:pPr>
        <w:pStyle w:val="Normal"/>
        <w:spacing w:lineRule="auto" w:line="240" w:before="0" w:after="0"/>
        <w:rPr>
          <w:rFonts w:ascii="Times New Roman" w:hAnsi="Times New Roman" w:cs="Times New Roman"/>
          <w:b/>
          <w:b/>
          <w:bCs/>
          <w:sz w:val="18"/>
          <w:szCs w:val="18"/>
        </w:rPr>
      </w:pPr>
      <w:r>
        <w:rPr>
          <w:rFonts w:cs="Times New Roman" w:ascii="Times New Roman" w:hAnsi="Times New Roman"/>
          <w:b/>
          <w:bCs/>
          <w:sz w:val="18"/>
          <w:szCs w:val="18"/>
        </w:rPr>
      </w:r>
    </w:p>
    <w:p>
      <w:pPr>
        <w:pStyle w:val="Normal"/>
        <w:rPr/>
      </w:pPr>
      <w:r>
        <w:rPr>
          <w:b/>
          <w:bCs/>
          <w:sz w:val="24"/>
          <w:szCs w:val="24"/>
        </w:rPr>
        <w:t>3.2.   ΠΙΝΑΚΑΣ  ΑΠΑΡΑΙΤΗΤΩΝ  ΕΞΕΤΑΣΕΩΝ</w:t>
      </w:r>
    </w:p>
    <w:tbl>
      <w:tblPr>
        <w:tblW w:w="9354" w:type="dxa"/>
        <w:jc w:val="left"/>
        <w:tblInd w:w="97" w:type="dxa"/>
        <w:tblLayout w:type="fixed"/>
        <w:tblCellMar>
          <w:top w:w="55" w:type="dxa"/>
          <w:left w:w="55" w:type="dxa"/>
          <w:bottom w:w="55" w:type="dxa"/>
          <w:right w:w="55" w:type="dxa"/>
        </w:tblCellMar>
      </w:tblPr>
      <w:tblGrid>
        <w:gridCol w:w="448"/>
        <w:gridCol w:w="6301"/>
        <w:gridCol w:w="1591"/>
        <w:gridCol w:w="1013"/>
      </w:tblGrid>
      <w:tr>
        <w:trPr>
          <w:trHeight w:val="343" w:hRule="atLeast"/>
        </w:trPr>
        <w:tc>
          <w:tcPr>
            <w:tcW w:w="448" w:type="dxa"/>
            <w:tcBorders>
              <w:top w:val="single" w:sz="4" w:space="0" w:color="000000"/>
              <w:left w:val="single" w:sz="4" w:space="0" w:color="000000"/>
              <w:bottom w:val="single" w:sz="4" w:space="0" w:color="000000"/>
            </w:tcBorders>
          </w:tcPr>
          <w:p>
            <w:pPr>
              <w:pStyle w:val="Normal"/>
              <w:widowControl w:val="false"/>
              <w:spacing w:before="0" w:after="200"/>
              <w:rPr>
                <w:sz w:val="18"/>
                <w:szCs w:val="18"/>
              </w:rPr>
            </w:pPr>
            <w:r>
              <w:rPr>
                <w:sz w:val="18"/>
                <w:szCs w:val="18"/>
              </w:rPr>
              <w:t>Α/Α</w:t>
            </w:r>
          </w:p>
        </w:tc>
        <w:tc>
          <w:tcPr>
            <w:tcW w:w="6301" w:type="dxa"/>
            <w:tcBorders>
              <w:top w:val="single" w:sz="4" w:space="0" w:color="000000"/>
              <w:left w:val="single" w:sz="4" w:space="0" w:color="000000"/>
              <w:bottom w:val="single" w:sz="4" w:space="0" w:color="000000"/>
            </w:tcBorders>
          </w:tcPr>
          <w:p>
            <w:pPr>
              <w:pStyle w:val="Normal"/>
              <w:widowControl w:val="false"/>
              <w:spacing w:before="0" w:after="200"/>
              <w:rPr>
                <w:sz w:val="18"/>
                <w:szCs w:val="18"/>
              </w:rPr>
            </w:pPr>
            <w:r>
              <w:rPr>
                <w:sz w:val="18"/>
                <w:szCs w:val="18"/>
              </w:rPr>
              <w:t>ΕΞΕΤΑΣΗ</w:t>
            </w:r>
          </w:p>
        </w:tc>
        <w:tc>
          <w:tcPr>
            <w:tcW w:w="1591" w:type="dxa"/>
            <w:tcBorders>
              <w:top w:val="single" w:sz="4" w:space="0" w:color="000000"/>
              <w:left w:val="single" w:sz="4" w:space="0" w:color="000000"/>
              <w:bottom w:val="single" w:sz="4" w:space="0" w:color="000000"/>
            </w:tcBorders>
          </w:tcPr>
          <w:p>
            <w:pPr>
              <w:pStyle w:val="Normal"/>
              <w:widowControl w:val="false"/>
              <w:spacing w:before="0" w:after="200"/>
              <w:rPr>
                <w:sz w:val="18"/>
                <w:szCs w:val="18"/>
              </w:rPr>
            </w:pPr>
            <w:r>
              <w:rPr>
                <w:sz w:val="18"/>
                <w:szCs w:val="18"/>
              </w:rPr>
              <w:t>Μονάδα Μέτρησης</w:t>
            </w:r>
          </w:p>
        </w:tc>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sz w:val="18"/>
                <w:szCs w:val="18"/>
              </w:rPr>
            </w:pPr>
            <w:r>
              <w:rPr>
                <w:sz w:val="18"/>
                <w:szCs w:val="18"/>
              </w:rPr>
              <w:t>Ποσότητα</w:t>
            </w:r>
          </w:p>
        </w:tc>
      </w:tr>
      <w:tr>
        <w:trPr>
          <w:trHeight w:val="340" w:hRule="exact"/>
        </w:trPr>
        <w:tc>
          <w:tcPr>
            <w:tcW w:w="448" w:type="dxa"/>
            <w:tcBorders>
              <w:left w:val="single" w:sz="4" w:space="0" w:color="000000"/>
              <w:bottom w:val="single" w:sz="4" w:space="0" w:color="000000"/>
            </w:tcBorders>
          </w:tcPr>
          <w:p>
            <w:pPr>
              <w:pStyle w:val="Normal"/>
              <w:widowControl w:val="false"/>
              <w:spacing w:before="0" w:after="200"/>
              <w:rPr>
                <w:sz w:val="18"/>
                <w:szCs w:val="18"/>
              </w:rPr>
            </w:pPr>
            <w:r>
              <w:rPr>
                <w:sz w:val="18"/>
                <w:szCs w:val="18"/>
              </w:rPr>
              <w:t>1</w:t>
            </w:r>
          </w:p>
        </w:tc>
        <w:tc>
          <w:tcPr>
            <w:tcW w:w="6301" w:type="dxa"/>
            <w:tcBorders>
              <w:left w:val="single" w:sz="4" w:space="0" w:color="000000"/>
              <w:bottom w:val="single" w:sz="4" w:space="0" w:color="000000"/>
            </w:tcBorders>
          </w:tcPr>
          <w:p>
            <w:pPr>
              <w:pStyle w:val="Normal"/>
              <w:widowControl w:val="false"/>
              <w:spacing w:before="0" w:after="200"/>
              <w:jc w:val="both"/>
              <w:rPr>
                <w:sz w:val="18"/>
                <w:szCs w:val="18"/>
              </w:rPr>
            </w:pPr>
            <w:r>
              <w:rPr>
                <w:sz w:val="18"/>
                <w:szCs w:val="18"/>
              </w:rPr>
              <w:t>Ανοσοκαθήλωση Ορού</w:t>
            </w:r>
          </w:p>
        </w:tc>
        <w:tc>
          <w:tcPr>
            <w:tcW w:w="1591" w:type="dxa"/>
            <w:tcBorders>
              <w:left w:val="single" w:sz="4" w:space="0" w:color="000000"/>
              <w:bottom w:val="single" w:sz="4" w:space="0" w:color="000000"/>
            </w:tcBorders>
          </w:tcPr>
          <w:p>
            <w:pPr>
              <w:pStyle w:val="Normal"/>
              <w:widowControl w:val="false"/>
              <w:spacing w:before="0" w:after="200"/>
              <w:rPr>
                <w:sz w:val="18"/>
                <w:szCs w:val="18"/>
              </w:rPr>
            </w:pPr>
            <w:r>
              <w:rPr>
                <w:sz w:val="18"/>
                <w:szCs w:val="18"/>
              </w:rPr>
              <w:t>Εξέταση</w:t>
            </w:r>
          </w:p>
        </w:tc>
        <w:tc>
          <w:tcPr>
            <w:tcW w:w="1013" w:type="dxa"/>
            <w:tcBorders>
              <w:left w:val="single" w:sz="4" w:space="0" w:color="000000"/>
              <w:bottom w:val="single" w:sz="4" w:space="0" w:color="000000"/>
              <w:right w:val="single" w:sz="4" w:space="0" w:color="000000"/>
            </w:tcBorders>
          </w:tcPr>
          <w:p>
            <w:pPr>
              <w:pStyle w:val="Normal"/>
              <w:widowControl w:val="false"/>
              <w:spacing w:before="0" w:after="200"/>
              <w:rPr>
                <w:sz w:val="18"/>
                <w:szCs w:val="18"/>
              </w:rPr>
            </w:pPr>
            <w:r>
              <w:rPr>
                <w:sz w:val="18"/>
                <w:szCs w:val="18"/>
              </w:rPr>
              <w:t>80</w:t>
            </w:r>
          </w:p>
        </w:tc>
      </w:tr>
      <w:tr>
        <w:trPr>
          <w:trHeight w:val="340" w:hRule="exact"/>
        </w:trPr>
        <w:tc>
          <w:tcPr>
            <w:tcW w:w="448" w:type="dxa"/>
            <w:tcBorders>
              <w:left w:val="single" w:sz="4" w:space="0" w:color="000000"/>
              <w:bottom w:val="single" w:sz="4" w:space="0" w:color="000000"/>
            </w:tcBorders>
          </w:tcPr>
          <w:p>
            <w:pPr>
              <w:pStyle w:val="Normal"/>
              <w:widowControl w:val="false"/>
              <w:spacing w:before="0" w:after="200"/>
              <w:rPr>
                <w:sz w:val="18"/>
                <w:szCs w:val="18"/>
              </w:rPr>
            </w:pPr>
            <w:r>
              <w:rPr>
                <w:sz w:val="18"/>
                <w:szCs w:val="18"/>
              </w:rPr>
              <w:t>2</w:t>
            </w:r>
          </w:p>
        </w:tc>
        <w:tc>
          <w:tcPr>
            <w:tcW w:w="6301" w:type="dxa"/>
            <w:tcBorders>
              <w:left w:val="single" w:sz="4" w:space="0" w:color="000000"/>
              <w:bottom w:val="single" w:sz="4" w:space="0" w:color="000000"/>
            </w:tcBorders>
          </w:tcPr>
          <w:p>
            <w:pPr>
              <w:pStyle w:val="Normal"/>
              <w:widowControl w:val="false"/>
              <w:spacing w:before="0" w:after="200"/>
              <w:jc w:val="both"/>
              <w:rPr>
                <w:sz w:val="18"/>
                <w:szCs w:val="18"/>
              </w:rPr>
            </w:pPr>
            <w:r>
              <w:rPr>
                <w:sz w:val="18"/>
                <w:szCs w:val="18"/>
              </w:rPr>
              <w:t>Ηλεκτροφόρηση Ορού</w:t>
            </w:r>
          </w:p>
        </w:tc>
        <w:tc>
          <w:tcPr>
            <w:tcW w:w="1591" w:type="dxa"/>
            <w:tcBorders>
              <w:left w:val="single" w:sz="4" w:space="0" w:color="000000"/>
              <w:bottom w:val="single" w:sz="4" w:space="0" w:color="000000"/>
            </w:tcBorders>
          </w:tcPr>
          <w:p>
            <w:pPr>
              <w:pStyle w:val="Normal"/>
              <w:widowControl w:val="false"/>
              <w:spacing w:before="0" w:after="200"/>
              <w:rPr>
                <w:sz w:val="18"/>
                <w:szCs w:val="18"/>
              </w:rPr>
            </w:pPr>
            <w:r>
              <w:rPr>
                <w:sz w:val="18"/>
                <w:szCs w:val="18"/>
              </w:rPr>
              <w:t>Εξέταση</w:t>
            </w:r>
          </w:p>
        </w:tc>
        <w:tc>
          <w:tcPr>
            <w:tcW w:w="1013" w:type="dxa"/>
            <w:tcBorders>
              <w:left w:val="single" w:sz="4" w:space="0" w:color="000000"/>
              <w:bottom w:val="single" w:sz="4" w:space="0" w:color="000000"/>
              <w:right w:val="single" w:sz="4" w:space="0" w:color="000000"/>
            </w:tcBorders>
          </w:tcPr>
          <w:p>
            <w:pPr>
              <w:pStyle w:val="Normal"/>
              <w:widowControl w:val="false"/>
              <w:spacing w:before="0" w:after="200"/>
              <w:rPr>
                <w:sz w:val="18"/>
                <w:szCs w:val="18"/>
              </w:rPr>
            </w:pPr>
            <w:r>
              <w:rPr>
                <w:sz w:val="18"/>
                <w:szCs w:val="18"/>
              </w:rPr>
              <w:t>720</w:t>
            </w:r>
          </w:p>
        </w:tc>
      </w:tr>
    </w:tbl>
    <w:p>
      <w:pPr>
        <w:pStyle w:val="Normal"/>
        <w:rPr/>
      </w:pPr>
      <w:r>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p>
      <w:pPr>
        <w:pStyle w:val="Normalwithoutspacing"/>
        <w:spacing w:lineRule="auto" w:line="240" w:before="57" w:after="57"/>
        <w:ind w:left="0" w:right="0" w:hanging="0"/>
        <w:jc w:val="center"/>
        <w:rPr/>
      </w:pPr>
      <w:r>
        <w:rPr>
          <w:rFonts w:cs="Arial" w:ascii="Arial" w:hAnsi="Arial"/>
          <w:b/>
          <w:bCs/>
          <w:i w:val="false"/>
          <w:iCs w:val="false"/>
          <w:color w:val="002060"/>
          <w:sz w:val="20"/>
          <w:szCs w:val="22"/>
          <w:u w:val="single"/>
          <w:lang w:val="el-GR" w:eastAsia="en-US"/>
        </w:rPr>
        <w:t>ΜΕΡΟΣ Β -  ΦΥΛΛΟ ΣΥΜΜΟΡΦΩΣΗΣ ΑΠΑΙΤΗΣΕΩΝ ΚΑΙ ΓΕΝΙΚΩΝ ΠΡΟΔΙΑΓΡΑΦΩΝ  (ΙΣΧΥΕΙ ΓΙΑ ΟΛΑ ΤΑ ΤΜΗΜΑΤΑ)</w:t>
      </w:r>
    </w:p>
    <w:p>
      <w:pPr>
        <w:pStyle w:val="Normalwithoutspacing"/>
        <w:spacing w:lineRule="auto" w:line="240" w:before="57" w:after="57"/>
        <w:ind w:left="0" w:right="0" w:hanging="0"/>
        <w:jc w:val="center"/>
        <w:rPr>
          <w:b/>
          <w:b/>
          <w:bCs/>
        </w:rPr>
      </w:pPr>
      <w:r>
        <w:rPr>
          <w:b/>
          <w:bCs/>
        </w:rPr>
      </w:r>
    </w:p>
    <w:p>
      <w:pPr>
        <w:pStyle w:val="Normalwithoutspacing"/>
        <w:spacing w:before="57" w:after="57"/>
        <w:rPr>
          <w:rFonts w:ascii="Arial" w:hAnsi="Arial" w:cs="Arial"/>
          <w:b/>
          <w:b/>
          <w:bCs/>
          <w:i w:val="false"/>
          <w:i w:val="false"/>
          <w:iCs w:val="false"/>
          <w:color w:val="002060"/>
          <w:sz w:val="20"/>
          <w:szCs w:val="22"/>
          <w:u w:val="single"/>
          <w:lang w:val="el-GR" w:eastAsia="en-US"/>
        </w:rPr>
      </w:pPr>
      <w:r>
        <w:rPr>
          <w:rFonts w:cs="Arial" w:ascii="Arial" w:hAnsi="Arial"/>
          <w:b/>
          <w:bCs/>
          <w:i w:val="false"/>
          <w:iCs w:val="false"/>
          <w:color w:val="002060"/>
          <w:sz w:val="20"/>
          <w:szCs w:val="22"/>
          <w:u w:val="single"/>
          <w:lang w:val="el-GR" w:eastAsia="en-US"/>
        </w:rPr>
      </w:r>
    </w:p>
    <w:tbl>
      <w:tblPr>
        <w:tblW w:w="9341" w:type="dxa"/>
        <w:jc w:val="left"/>
        <w:tblInd w:w="28" w:type="dxa"/>
        <w:tblLayout w:type="fixed"/>
        <w:tblCellMar>
          <w:top w:w="28" w:type="dxa"/>
          <w:left w:w="28" w:type="dxa"/>
          <w:bottom w:w="28" w:type="dxa"/>
          <w:right w:w="28" w:type="dxa"/>
        </w:tblCellMar>
      </w:tblPr>
      <w:tblGrid>
        <w:gridCol w:w="510"/>
        <w:gridCol w:w="7087"/>
        <w:gridCol w:w="964"/>
        <w:gridCol w:w="779"/>
      </w:tblGrid>
      <w:tr>
        <w:trPr/>
        <w:tc>
          <w:tcPr>
            <w:tcW w:w="9340" w:type="dxa"/>
            <w:gridSpan w:val="4"/>
            <w:tcBorders>
              <w:top w:val="single" w:sz="2" w:space="0" w:color="000000"/>
              <w:left w:val="single" w:sz="2" w:space="0" w:color="000000"/>
              <w:bottom w:val="single" w:sz="2" w:space="0" w:color="000000"/>
              <w:right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t>ΑΠΑΙΤΗΣΕΙΣ ΚΑΙ ΓΕΝΙΚΕΣ ΠΡΟΔΙΑΓΡΑΦΕΣ</w:t>
            </w:r>
          </w:p>
        </w:tc>
      </w:tr>
      <w:tr>
        <w:trPr/>
        <w:tc>
          <w:tcPr>
            <w:tcW w:w="510"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α/α</w:t>
            </w:r>
          </w:p>
        </w:tc>
        <w:tc>
          <w:tcPr>
            <w:tcW w:w="7087"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Περιγραφή Τεχνικής Προδιαγραφής</w:t>
            </w:r>
          </w:p>
        </w:tc>
        <w:tc>
          <w:tcPr>
            <w:tcW w:w="964" w:type="dxa"/>
            <w:tcBorders>
              <w:left w:val="single" w:sz="2" w:space="0" w:color="000000"/>
              <w:bottom w:val="single" w:sz="2" w:space="0" w:color="000000"/>
            </w:tcBorders>
            <w:vAlign w:val="center"/>
          </w:tcPr>
          <w:p>
            <w:pPr>
              <w:pStyle w:val="Normal"/>
              <w:widowControl w:val="false"/>
              <w:spacing w:before="0" w:after="200"/>
              <w:rPr>
                <w:sz w:val="18"/>
                <w:szCs w:val="18"/>
              </w:rPr>
            </w:pPr>
            <w:r>
              <w:rPr>
                <w:sz w:val="18"/>
                <w:szCs w:val="18"/>
              </w:rPr>
              <w:t>Απάντηση Υποψηφίου</w:t>
            </w:r>
          </w:p>
        </w:tc>
        <w:tc>
          <w:tcPr>
            <w:tcW w:w="779" w:type="dxa"/>
            <w:tcBorders>
              <w:left w:val="single" w:sz="2" w:space="0" w:color="000000"/>
              <w:bottom w:val="single" w:sz="2" w:space="0" w:color="000000"/>
              <w:right w:val="single" w:sz="2" w:space="0" w:color="000000"/>
            </w:tcBorders>
            <w:vAlign w:val="center"/>
          </w:tcPr>
          <w:p>
            <w:pPr>
              <w:pStyle w:val="Normal"/>
              <w:widowControl w:val="false"/>
              <w:spacing w:before="0" w:after="200"/>
              <w:rPr>
                <w:sz w:val="18"/>
                <w:szCs w:val="18"/>
              </w:rPr>
            </w:pPr>
            <w:r>
              <w:rPr>
                <w:sz w:val="18"/>
                <w:szCs w:val="18"/>
              </w:rPr>
              <w:t>Παραπομπή</w:t>
            </w:r>
          </w:p>
        </w:tc>
      </w:tr>
      <w:tr>
        <w:trPr/>
        <w:tc>
          <w:tcPr>
            <w:tcW w:w="510"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087"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t>Τα προϊόντα θα πρέπει:</w:t>
            </w:r>
          </w:p>
        </w:tc>
        <w:tc>
          <w:tcPr>
            <w:tcW w:w="964"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1</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Τα τεχνικά χαρακτηριστικά, που αναφέρουν οι προμηθευτές, θα πρέπει να περιέχουν όλα τα απαραίτητα στοιχεία που θα βοηθήσουν την επιτροπή να κατανοήσει και να αξιολογήσει την επίδοση των προϊόντων</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2</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Όσον αφορά τους αναλυτές, τα τεχνικά προβλήματα ή οι ελλείψεις αντιδραστηρίων, που καθιστούν αδύνατη τη λειτουργία του αντίστοιχου αναλυτή, να επιλύνονται το πολύ σε 3 εργάσιμες μέρες</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3</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Ο χρόνος λήξης να είναι τυπωμένος πάνω στη συσκευασία, αν είναι δυνατόν και στο υλικό.</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087"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both"/>
              <w:rPr>
                <w:sz w:val="18"/>
                <w:szCs w:val="18"/>
              </w:rPr>
            </w:pPr>
            <w:r>
              <w:rPr>
                <w:sz w:val="18"/>
                <w:szCs w:val="18"/>
              </w:rPr>
              <w:t>Ο συνοδός εξοπλισμός θα πρέπει:</w:t>
            </w:r>
          </w:p>
        </w:tc>
        <w:tc>
          <w:tcPr>
            <w:tcW w:w="964"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4</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Να κατατίθεται πλήρες το πρωτότυπο εγχειρίδιο λειτουργίας του κατασκευαστή.</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5</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lang w:val="en-US" w:eastAsia="en-US"/>
              </w:rPr>
              <w:t xml:space="preserve">Θα πρέπει να παραδοθεί το </w:t>
            </w:r>
            <w:r>
              <w:rPr>
                <w:sz w:val="18"/>
                <w:szCs w:val="18"/>
                <w:lang w:val="el-GR" w:eastAsia="en-US"/>
              </w:rPr>
              <w:t>α</w:t>
            </w:r>
            <w:r>
              <w:rPr>
                <w:sz w:val="18"/>
                <w:szCs w:val="18"/>
                <w:lang w:val="en-US" w:eastAsia="en-US"/>
              </w:rPr>
              <w:t>ργότερο εντός ενός μήνα από την υπογραφή της σύμβασης.</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rHeight w:val="453" w:hRule="atLeast"/>
        </w:trPr>
        <w:tc>
          <w:tcPr>
            <w:tcW w:w="510"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087"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both"/>
              <w:rPr>
                <w:sz w:val="18"/>
                <w:szCs w:val="18"/>
              </w:rPr>
            </w:pPr>
            <w:r>
              <w:rPr>
                <w:sz w:val="18"/>
                <w:szCs w:val="18"/>
              </w:rPr>
              <w:t>Λοιποί όροι:</w:t>
            </w:r>
          </w:p>
        </w:tc>
        <w:tc>
          <w:tcPr>
            <w:tcW w:w="964" w:type="dxa"/>
            <w:tcBorders>
              <w:left w:val="single" w:sz="2" w:space="0" w:color="000000"/>
              <w:bottom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shd w:fill="CCCCCC" w:val="clear"/>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6</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Με αποκλειστική ευθύνη του προμηθευτή, που αποδεικνύεται έγγραφα, θα πρέπει να εξασφαλίζεται δυνατότητα για συνεχή και πλήρη τεχνική υποστήριξη, δηλαδή επισκευές, ανταλλακτικά και άλλα υλικά, 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υλικών βαθμονόμησης και ελέγχου (standards, controls) σε ποσότητες τέτοιες που να μην παρακωλύεται η απρόσκοπτη λειτουργία του εργαστηρίου.</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7</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Σε περίπτωση που ο μειοδότης του παρόντος διαγωνισμού ανακηρυχθεί μειοδότης και για τον επόμενο διαγωνισμό υποχρεούται στην αντικατάσταση των αναλυτών, εφόσον αυτοί υπερβαίνουν την τετραετία από την ημερομηνία κατασκευής τους ή εφόσον ο προμηθευτής το κρίνει αναγκαίο.</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8</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Σε περίπτωση που θα παρατηρηθεί αλλοίωση του προϊόντος προ της λήξεως του και ενώ έχουν τηρηθεί οι προβλεπόμενες από τον κατασκευαστή συνθήκες συντηρήσεως του, να υποχρεούται ο προμηθευτής στην αντικατάσταση της αλλοιωθείσης ποσότητας.</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9</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Ο προμηθευτής υποχρεούται να επισκευάζει ή να αντικαθιστά οποιοδήποτε εξάρτημα ή μέρος ή ολόκληρο το σύστημα που έχει υποστεί βλάβη, χωρίς καμία οικονομική επιβάρυνση του Νοσοκομείου. Υποχρεούται επίσης να αντικαθιστά στην περίπτωση αυτή το ισοδύναμο των τεστ, που έχουν καταστραφεί λόγω της απότομης διακοπής της λειτουργίας (βλάβης) του αναλυτή, όπως αυτό εμφανίζεται στο βιβλίο λειτουργίας του οργάνου που τηρεί το Εργαστήριο και αποδεικνύεται από το αρχείο σφαλμάτων του αναλυτή</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10</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Ο προμηθευτής είναι υποχρεωμένος να διαθέσει ειδικό ή ειδικούς τεχνικούς που θα παραμείνουν στη διάθεση της επιτροπής για επίδειξη και εξηγήσεις πάνω στο χειρισμό, τη λειτουργία και τη θεωρία του υπό προμήθεια συστήματος. Η διάρκεια επίδειξης θα είναι από 1-6 ημέρες, ανάλογα με την απαίτηση της επιτροπής, χωρίς οικονομική επιβάρυνση του Νοσοκομείου.</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r>
        <w:trPr/>
        <w:tc>
          <w:tcPr>
            <w:tcW w:w="510"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t>11</w:t>
            </w:r>
          </w:p>
        </w:tc>
        <w:tc>
          <w:tcPr>
            <w:tcW w:w="7087"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both"/>
              <w:rPr>
                <w:sz w:val="18"/>
                <w:szCs w:val="18"/>
              </w:rPr>
            </w:pPr>
            <w:r>
              <w:rPr>
                <w:sz w:val="18"/>
                <w:szCs w:val="18"/>
              </w:rPr>
              <w:t>Πριν την οριστική παραλαβή το σύστημα θα δοκιμαστεί για 5 ημέρες τουλάχιστον σε δουλειά ρουτίνας, ή και περισσότερο εάν κριθεί απαραίτητο από την υπηρεσία.</w:t>
            </w:r>
          </w:p>
        </w:tc>
        <w:tc>
          <w:tcPr>
            <w:tcW w:w="964" w:type="dxa"/>
            <w:tcBorders>
              <w:left w:val="single" w:sz="2" w:space="0" w:color="000000"/>
              <w:bottom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c>
          <w:tcPr>
            <w:tcW w:w="779" w:type="dxa"/>
            <w:tcBorders>
              <w:left w:val="single" w:sz="2" w:space="0" w:color="000000"/>
              <w:bottom w:val="single" w:sz="2" w:space="0" w:color="000000"/>
              <w:right w:val="single" w:sz="2" w:space="0" w:color="000000"/>
            </w:tcBorders>
            <w:vAlign w:val="center"/>
          </w:tcPr>
          <w:p>
            <w:pPr>
              <w:pStyle w:val="Normal"/>
              <w:widowControl w:val="false"/>
              <w:suppressAutoHyphens w:val="true"/>
              <w:bidi w:val="0"/>
              <w:spacing w:lineRule="auto" w:line="276" w:before="0" w:after="200"/>
              <w:jc w:val="left"/>
              <w:rPr>
                <w:sz w:val="18"/>
                <w:szCs w:val="18"/>
              </w:rPr>
            </w:pPr>
            <w:r>
              <w:rPr>
                <w:sz w:val="18"/>
                <w:szCs w:val="18"/>
              </w:rPr>
            </w:r>
          </w:p>
        </w:tc>
      </w:tr>
    </w:tbl>
    <w:p>
      <w:pPr>
        <w:pStyle w:val="Normal"/>
        <w:spacing w:lineRule="auto" w:line="240" w:before="57" w:after="57"/>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jc w:val="left"/>
        <w:rPr>
          <w:rFonts w:cs="Calibri"/>
          <w:b/>
          <w:b/>
          <w:bCs/>
          <w:sz w:val="20"/>
          <w:szCs w:val="20"/>
          <w:u w:val="none"/>
          <w:lang w:val="el-GR"/>
        </w:rPr>
      </w:pPr>
      <w:r>
        <w:rPr>
          <w:rFonts w:cs="Calibri"/>
          <w:b/>
          <w:bCs/>
          <w:sz w:val="20"/>
          <w:szCs w:val="20"/>
          <w:u w:val="none"/>
          <w:lang w:val="el-GR"/>
        </w:rPr>
        <w:t xml:space="preserve">                                                                </w:t>
      </w:r>
      <w:r>
        <w:rPr>
          <w:rFonts w:cs="Calibri"/>
          <w:b/>
          <w:bCs/>
          <w:sz w:val="22"/>
          <w:szCs w:val="22"/>
          <w:u w:val="none"/>
          <w:lang w:val="el-GR"/>
        </w:rPr>
        <w:t xml:space="preserve">   </w:t>
      </w:r>
      <w:r>
        <w:rPr>
          <w:rFonts w:cs="Calibri"/>
          <w:b/>
          <w:bCs/>
          <w:sz w:val="22"/>
          <w:szCs w:val="22"/>
          <w:u w:val="single"/>
          <w:lang w:val="el-GR"/>
        </w:rPr>
        <w:t>Οδηγίες Συμπλήρωσης Φύλλου Συμμόρφωσης</w:t>
      </w:r>
    </w:p>
    <w:p>
      <w:pPr>
        <w:pStyle w:val="Normal"/>
        <w:spacing w:lineRule="auto" w:line="240" w:before="0" w:after="0"/>
        <w:jc w:val="both"/>
        <w:rPr/>
      </w:pPr>
      <w:r>
        <w:rPr>
          <w:rFonts w:cs="Calibri"/>
          <w:b w:val="false"/>
          <w:i w:val="false"/>
          <w:color w:val="00000A"/>
          <w:sz w:val="22"/>
          <w:szCs w:val="22"/>
        </w:rPr>
        <w:t xml:space="preserve">Τα αναγραφόμενα στον πίνακα συμμόρφωσης, </w:t>
      </w:r>
      <w:r>
        <w:rPr>
          <w:rFonts w:cs="Calibri"/>
          <w:b/>
          <w:i w:val="false"/>
          <w:color w:val="00000A"/>
          <w:sz w:val="22"/>
          <w:szCs w:val="22"/>
        </w:rPr>
        <w:t xml:space="preserve">στον οποίο περιγράφεται αναλυτικά το προσφερόμενο είδος </w:t>
      </w:r>
      <w:r>
        <w:rPr>
          <w:rFonts w:cs="Calibri"/>
          <w:b w:val="false"/>
          <w:i w:val="false"/>
          <w:color w:val="00000A"/>
          <w:sz w:val="22"/>
          <w:szCs w:val="22"/>
        </w:rPr>
        <w:t>με το σύνολο των τεχνικών προδιαγραφών της διακήρυξης, πρέπει να τεκμηριώνονται με παραπομπές στα επίσημα τεχνικά φυλλάδια (prospectus) του κατασκευαστικού οίκου ή με την προσκόμιση επίσημων βεβαιώσεων του κατασκευαστή ή (και) άλλων επίσημων εγγράφων για ότι δεν αναγράφεται στα τεχνικά φυλλάδ</w:t>
      </w:r>
      <w:r>
        <w:rPr>
          <w:rFonts w:cs="Calibri"/>
          <w:b w:val="false"/>
          <w:i w:val="false"/>
          <w:color w:val="00000A"/>
          <w:sz w:val="22"/>
          <w:szCs w:val="22"/>
          <w:shd w:fill="auto" w:val="clear"/>
        </w:rPr>
        <w:t>ια. Προσφορές οι οποίες θα αντιγράφουν τις τεχνικές προδιαγραφές της διακήρυξης ή θα απαντούν μονολεκτικά ("ΝΑΙ" ή "συμφωνούμε" κ.λ.π.), χωρίς τεκμηρίωση και πλήρη παραπομπή – αντιστοιχία, μεταξύ κειμένου ανά παράγραφο και prospectus θα αποκλείονται</w:t>
      </w:r>
      <w:r>
        <w:rPr>
          <w:rFonts w:cs="Calibri"/>
          <w:b w:val="false"/>
          <w:i/>
          <w:color w:val="00000A"/>
          <w:sz w:val="22"/>
          <w:szCs w:val="22"/>
          <w:shd w:fill="auto" w:val="clear"/>
        </w:rPr>
        <w:t>.</w:t>
      </w:r>
    </w:p>
    <w:p>
      <w:pPr>
        <w:pStyle w:val="Normal"/>
        <w:jc w:val="both"/>
        <w:rPr/>
      </w:pPr>
      <w:r>
        <w:rPr>
          <w:rFonts w:cs="Calibri"/>
          <w:b w:val="false"/>
          <w:i w:val="false"/>
          <w:color w:val="000000"/>
          <w:sz w:val="22"/>
          <w:szCs w:val="22"/>
        </w:rPr>
        <w:t xml:space="preserve">Ο πίνακας συμμόρφωσης της Διακήρυξης πρέπει να </w:t>
      </w:r>
      <w:r>
        <w:rPr>
          <w:rFonts w:cs="Calibri"/>
          <w:b w:val="false"/>
          <w:i w:val="false"/>
          <w:color w:val="00000A"/>
          <w:sz w:val="22"/>
          <w:szCs w:val="22"/>
        </w:rPr>
        <w:t xml:space="preserve">υποβληθεί </w:t>
      </w:r>
      <w:r>
        <w:rPr>
          <w:rFonts w:cs="Calibri"/>
          <w:b w:val="false"/>
          <w:i w:val="false"/>
          <w:color w:val="000000"/>
          <w:sz w:val="22"/>
          <w:szCs w:val="22"/>
        </w:rPr>
        <w:t>με την τεχνική προσφορά, συμπληρωμένος σύμφωνα με τις παρακάτω επεξηγήσεις και οδηγίες τις οποίες ο υποψήφιος είναι υποχρεωμένος να ακολουθήσει:</w:t>
      </w:r>
    </w:p>
    <w:p>
      <w:pPr>
        <w:pStyle w:val="Normal"/>
        <w:jc w:val="both"/>
        <w:rPr/>
      </w:pPr>
      <w:r>
        <w:rPr>
          <w:rFonts w:cs="Calibri"/>
          <w:b/>
          <w:i w:val="false"/>
          <w:color w:val="000000"/>
          <w:sz w:val="22"/>
          <w:szCs w:val="22"/>
        </w:rPr>
        <w:t xml:space="preserve">1. </w:t>
      </w:r>
      <w:r>
        <w:rPr>
          <w:rFonts w:cs="Calibri"/>
          <w:b w:val="false"/>
          <w:i w:val="false"/>
          <w:color w:val="000000"/>
          <w:sz w:val="22"/>
          <w:szCs w:val="22"/>
        </w:rPr>
        <w:t>Στη Στήλη «ΠΕΡΙΓΡΑΦΉ ΠΡΟΔΙΑΓΡΑΦΉΣ», περιγράφονται αναλυτικά οι αντίστοιχοι τεχνικοί όροι, υποχρεώσεις ή επεξηγήσεις για τα οποία θα πρέπει να δοθούν αντίστοιχες απαντήσεις.</w:t>
      </w:r>
    </w:p>
    <w:p>
      <w:pPr>
        <w:pStyle w:val="Normal"/>
        <w:jc w:val="both"/>
        <w:rPr/>
      </w:pPr>
      <w:r>
        <w:rPr>
          <w:rFonts w:cs="Calibri"/>
          <w:b/>
          <w:i w:val="false"/>
          <w:color w:val="000000"/>
          <w:sz w:val="22"/>
          <w:szCs w:val="22"/>
        </w:rPr>
        <w:t xml:space="preserve">2. </w:t>
      </w:r>
      <w:r>
        <w:rPr>
          <w:rFonts w:cs="Calibri"/>
          <w:b w:val="false"/>
          <w:i w:val="false"/>
          <w:color w:val="000000"/>
          <w:sz w:val="22"/>
          <w:szCs w:val="22"/>
        </w:rPr>
        <w:t>Στη στήλη «ΑΠΑΝΤΉΣΉ ΥΠΟΨΉΦΙΟΥ» σημειώνεται η απάντηση του υποψηφίου Αναδόχου που έχει τη μορφή ΝΑΙ/ 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p>
      <w:pPr>
        <w:pStyle w:val="Normal"/>
        <w:jc w:val="both"/>
        <w:rPr/>
      </w:pPr>
      <w:r>
        <w:rPr>
          <w:rFonts w:cs="Calibri"/>
          <w:b/>
          <w:i w:val="false"/>
          <w:color w:val="000000"/>
          <w:sz w:val="22"/>
          <w:szCs w:val="22"/>
        </w:rPr>
        <w:t xml:space="preserve">3. </w:t>
      </w:r>
      <w:r>
        <w:rPr>
          <w:rFonts w:cs="Calibri"/>
          <w:b w:val="false"/>
          <w:i w:val="false"/>
          <w:color w:val="000000"/>
          <w:sz w:val="22"/>
          <w:szCs w:val="22"/>
        </w:rPr>
        <w:t>Στη στήλη «ΠΑΡΑΠΟΜΠΉ» θα καταγραφεί η σαφής παραπομπή σε ενότητα της τεχνικής προσφοράς, η οποία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του Πίνακα Συμμόρφωσης.</w:t>
      </w:r>
    </w:p>
    <w:p>
      <w:pPr>
        <w:pStyle w:val="Normal"/>
        <w:spacing w:lineRule="auto" w:line="240" w:before="0" w:after="0"/>
        <w:ind w:left="0" w:right="0" w:hanging="0"/>
        <w:jc w:val="both"/>
        <w:rPr>
          <w:rFonts w:ascii="Calibri" w:hAnsi="Calibri"/>
          <w:sz w:val="22"/>
          <w:szCs w:val="22"/>
          <w:u w:val="none"/>
        </w:rPr>
      </w:pPr>
      <w:r>
        <w:rPr>
          <w:rFonts w:eastAsia="SimSun;宋体" w:cs="Times New Roman" w:ascii="Times New Roman" w:hAnsi="Times New Roman"/>
          <w:b/>
          <w:bCs/>
          <w:i w:val="false"/>
          <w:iCs/>
          <w:color w:val="000000"/>
          <w:sz w:val="22"/>
          <w:szCs w:val="22"/>
          <w:u w:val="none"/>
          <w:lang w:val="el-GR" w:eastAsia="en-US"/>
        </w:rPr>
        <w:t xml:space="preserve">4. </w:t>
      </w:r>
      <w:r>
        <w:rPr>
          <w:rFonts w:eastAsia="SimSun;宋体" w:cs="Times New Roman"/>
          <w:b w:val="false"/>
          <w:bCs/>
          <w:i w:val="false"/>
          <w:iCs/>
          <w:color w:val="000000"/>
          <w:sz w:val="22"/>
          <w:szCs w:val="22"/>
          <w:u w:val="none"/>
          <w:lang w:val="el-GR" w:eastAsia="en-US"/>
        </w:rPr>
        <w:t>Είναι υποχρεωτική η πλήρης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Normal"/>
        <w:spacing w:lineRule="auto" w:line="240" w:before="0" w:after="0"/>
        <w:ind w:left="0" w:right="0" w:hanging="0"/>
        <w:jc w:val="center"/>
        <w:rPr>
          <w:rFonts w:ascii="Calibri" w:hAnsi="Calibri"/>
          <w:sz w:val="22"/>
          <w:szCs w:val="22"/>
        </w:rPr>
      </w:pPr>
      <w:r>
        <w:rPr>
          <w:sz w:val="22"/>
          <w:szCs w:val="22"/>
        </w:rPr>
      </w:r>
    </w:p>
    <w:p>
      <w:pPr>
        <w:pStyle w:val="2"/>
        <w:tabs>
          <w:tab w:val="clear" w:pos="567"/>
          <w:tab w:val="left" w:pos="0" w:leader="none"/>
        </w:tabs>
        <w:spacing w:before="57" w:after="57"/>
        <w:ind w:left="0" w:right="0" w:hanging="0"/>
        <w:rPr>
          <w:u w:val="none"/>
        </w:rPr>
      </w:pPr>
      <w:bookmarkStart w:id="1" w:name="__RefHeading___Toc74084905"/>
      <w:bookmarkEnd w:id="1"/>
      <w:r>
        <w:rPr>
          <w:rFonts w:ascii="Calibri" w:hAnsi="Calibri"/>
          <w:b/>
          <w:bCs/>
          <w:color w:val="000000"/>
          <w:sz w:val="24"/>
          <w:szCs w:val="24"/>
          <w:u w:val="none"/>
          <w:shd w:fill="auto" w:val="clear"/>
          <w:lang w:val="el-GR"/>
        </w:rPr>
        <w:t xml:space="preserve"> </w:t>
      </w:r>
      <w:r>
        <w:rPr>
          <w:rFonts w:ascii="Calibri" w:hAnsi="Calibri"/>
          <w:b/>
          <w:bCs/>
          <w:color w:val="000000"/>
          <w:sz w:val="24"/>
          <w:szCs w:val="24"/>
          <w:u w:val="none"/>
          <w:shd w:fill="auto" w:val="clear"/>
          <w:lang w:val="el-GR"/>
        </w:rPr>
        <w:t xml:space="preserve">ΠΑΡΑΡΤΗΜΑ 2. </w:t>
      </w:r>
      <w:r>
        <w:rPr>
          <w:rFonts w:cs="Calibri-Bold" w:ascii="Calibri" w:hAnsi="Calibri"/>
          <w:b/>
          <w:bCs/>
          <w:i w:val="false"/>
          <w:color w:val="000000"/>
          <w:sz w:val="24"/>
          <w:szCs w:val="24"/>
          <w:u w:val="none"/>
          <w:shd w:fill="auto" w:val="clear"/>
          <w:lang w:val="el-GR"/>
        </w:rPr>
        <w:t>ΠΙΝΑΚΕΣ ΟΙΚΟΝΟΜΙΚΗΣ ΠΡΟΣΦΟΡΑΣ</w:t>
      </w:r>
    </w:p>
    <w:p>
      <w:pPr>
        <w:pStyle w:val="Normal"/>
        <w:spacing w:before="0" w:after="0"/>
        <w:rPr>
          <w:sz w:val="22"/>
          <w:szCs w:val="22"/>
        </w:rPr>
      </w:pPr>
      <w:r>
        <w:rPr>
          <w:rFonts w:cs="Calibri"/>
          <w:b w:val="false"/>
          <w:bCs w:val="false"/>
          <w:i w:val="false"/>
          <w:color w:val="000000"/>
          <w:sz w:val="22"/>
          <w:szCs w:val="22"/>
          <w:u w:val="none"/>
          <w:shd w:fill="auto" w:val="clear"/>
        </w:rPr>
        <w:t>Ο προσφέρων θα πρέπει να πρέπει να συμπληρώσει την αναλυτική οικονομική προσφορά σε μορφή pdf,</w:t>
      </w:r>
      <w:r>
        <w:rPr>
          <w:rFonts w:cs="Calibri"/>
          <w:b w:val="false"/>
          <w:bCs w:val="false"/>
          <w:i w:val="false"/>
          <w:color w:val="000000"/>
          <w:sz w:val="22"/>
          <w:szCs w:val="22"/>
          <w:shd w:fill="auto" w:val="clear"/>
        </w:rPr>
        <w:t xml:space="preserve"> επι ποινή απόρριψης ως κάτωθι:</w:t>
      </w:r>
    </w:p>
    <w:p>
      <w:pPr>
        <w:pStyle w:val="Normal"/>
        <w:spacing w:before="0" w:after="0"/>
        <w:rPr>
          <w:sz w:val="22"/>
          <w:szCs w:val="22"/>
        </w:rPr>
      </w:pPr>
      <w:r>
        <w:rPr>
          <w:rFonts w:cs="Calibri"/>
          <w:b w:val="false"/>
          <w:bCs w:val="false"/>
          <w:i w:val="false"/>
          <w:color w:val="000000"/>
          <w:sz w:val="22"/>
          <w:szCs w:val="22"/>
          <w:u w:val="none"/>
          <w:shd w:fill="auto" w:val="clear"/>
          <w:lang w:val="el-GR"/>
        </w:rPr>
        <w:t>Επισημαίνεται ότι και οι τρεις (3) πίνακες θα υποβάλλονται για κάθε Τμήμα στο οποίο υποβάλλεται προσφορά. Παραδείγματος χάριν οικονομικός φορέας που θα υποβάλει προσφορά για τα τμήματα 1 και 3 πρέπει να συμπεριλάβει στην οικονομική του προσφορά έξι πίνακες, τρεις για το Τμήμα 1 και τρεις για το Τμήμα 3.</w:t>
      </w:r>
    </w:p>
    <w:p>
      <w:pPr>
        <w:pStyle w:val="Normal"/>
        <w:spacing w:before="0" w:after="0"/>
        <w:rPr>
          <w:rFonts w:cs="Calibri"/>
          <w:b w:val="false"/>
          <w:b w:val="false"/>
          <w:bCs w:val="false"/>
          <w:i w:val="false"/>
          <w:i w:val="false"/>
          <w:color w:val="000000"/>
          <w:u w:val="none"/>
          <w:shd w:fill="FFFF00" w:val="clear"/>
          <w:lang w:val="el-GR"/>
        </w:rPr>
      </w:pPr>
      <w:r>
        <w:rPr>
          <w:rFonts w:cs="Calibri"/>
          <w:b w:val="false"/>
          <w:bCs w:val="false"/>
          <w:i w:val="false"/>
          <w:color w:val="000000"/>
          <w:u w:val="none"/>
          <w:shd w:fill="FFFF00" w:val="clear"/>
          <w:lang w:val="el-GR"/>
        </w:rPr>
      </w:r>
    </w:p>
    <w:p>
      <w:pPr>
        <w:pStyle w:val="Normal"/>
        <w:rPr>
          <w:rFonts w:ascii="Calibri" w:hAnsi="Calibri"/>
          <w:sz w:val="24"/>
          <w:szCs w:val="24"/>
        </w:rPr>
      </w:pPr>
      <w:r>
        <w:rPr>
          <w:rFonts w:cs="Calibri-Bold"/>
          <w:b/>
          <w:bCs/>
          <w:i w:val="false"/>
          <w:color w:val="auto"/>
          <w:sz w:val="24"/>
          <w:szCs w:val="24"/>
          <w:u w:val="single"/>
          <w:lang w:val="el-GR"/>
        </w:rPr>
        <w:t xml:space="preserve">ΥΠΟΔΕΙΓΜΑ </w:t>
      </w:r>
    </w:p>
    <w:p>
      <w:pPr>
        <w:pStyle w:val="Normal"/>
        <w:jc w:val="center"/>
        <w:rPr>
          <w:rFonts w:ascii="Calibri" w:hAnsi="Calibri"/>
          <w:sz w:val="24"/>
          <w:szCs w:val="24"/>
        </w:rPr>
      </w:pPr>
      <w:r>
        <w:rPr>
          <w:rFonts w:cs="Calibri"/>
          <w:b/>
          <w:bCs/>
          <w:i w:val="false"/>
          <w:color w:val="auto"/>
          <w:sz w:val="24"/>
          <w:szCs w:val="24"/>
        </w:rPr>
        <w:t xml:space="preserve">ΓΙΑ ΤΗΝ ΠΡΟΜΗΘΕΙΑ </w:t>
      </w:r>
      <w:r>
        <w:rPr>
          <w:rFonts w:cs="Calibri"/>
          <w:b/>
          <w:bCs/>
          <w:i w:val="false"/>
          <w:color w:val="auto"/>
          <w:sz w:val="24"/>
          <w:szCs w:val="24"/>
          <w:lang w:val="el-GR"/>
        </w:rPr>
        <w:t>ΚΑΛΛΙΕΡΓΕΙΕΣ ΜΙΚΡΟΒΙΟΛΟΓΙΑΣ</w:t>
      </w:r>
      <w:r>
        <w:rPr>
          <w:rFonts w:cs="Calibri"/>
          <w:b/>
          <w:bCs/>
          <w:i w:val="false"/>
          <w:color w:val="auto"/>
          <w:sz w:val="24"/>
          <w:szCs w:val="24"/>
        </w:rPr>
        <w:t xml:space="preserve"> </w:t>
      </w:r>
      <w:r>
        <w:rPr>
          <w:rFonts w:cs="Calibri"/>
          <w:b/>
          <w:bCs/>
          <w:i w:val="false"/>
          <w:color w:val="auto"/>
          <w:sz w:val="24"/>
          <w:szCs w:val="24"/>
          <w:lang w:val="el-GR"/>
        </w:rPr>
        <w:t xml:space="preserve">ΜΕ ΔΩΡΕΑΝ ΣΥΝΟΔΟ ΕΞΟΠΛΙΣΜΟ </w:t>
      </w:r>
      <w:r>
        <w:rPr>
          <w:rFonts w:cs="Calibri"/>
          <w:b/>
          <w:bCs/>
          <w:i w:val="false"/>
          <w:color w:val="auto"/>
          <w:sz w:val="24"/>
          <w:szCs w:val="24"/>
        </w:rPr>
        <w:t xml:space="preserve">ΓΙΑ </w:t>
      </w:r>
      <w:r>
        <w:rPr>
          <w:rFonts w:cs="Calibri"/>
          <w:b/>
          <w:bCs/>
          <w:i w:val="false"/>
          <w:color w:val="auto"/>
          <w:sz w:val="24"/>
          <w:szCs w:val="24"/>
          <w:lang w:val="el-GR"/>
        </w:rPr>
        <w:t xml:space="preserve">ΤΗΝ </w:t>
      </w:r>
      <w:r>
        <w:rPr>
          <w:rFonts w:cs="Calibri"/>
          <w:b/>
          <w:bCs/>
          <w:i w:val="false"/>
          <w:color w:val="auto"/>
          <w:sz w:val="24"/>
          <w:szCs w:val="24"/>
        </w:rPr>
        <w:t xml:space="preserve">ΚΑΛΥΨΗ ΑΝΑΓΚΩΝ ΝΟΣΟΚΟΜΕΙΟΥ </w:t>
      </w:r>
      <w:r>
        <w:rPr>
          <w:rFonts w:cs="Calibri"/>
          <w:b/>
          <w:bCs/>
          <w:i w:val="false"/>
          <w:color w:val="auto"/>
          <w:sz w:val="24"/>
          <w:szCs w:val="24"/>
          <w:lang w:val="el-GR"/>
        </w:rPr>
        <w:t>ΣΕΡΡΩΝ</w:t>
      </w:r>
    </w:p>
    <w:p>
      <w:pPr>
        <w:pStyle w:val="Normal"/>
        <w:rPr>
          <w:rFonts w:ascii="Calibri" w:hAnsi="Calibri" w:cs="Calibri"/>
          <w:b w:val="false"/>
          <w:b w:val="false"/>
          <w:bCs w:val="false"/>
          <w:i w:val="false"/>
          <w:i w:val="false"/>
          <w:color w:val="auto"/>
          <w:sz w:val="24"/>
          <w:szCs w:val="24"/>
        </w:rPr>
      </w:pPr>
      <w:r>
        <w:rPr>
          <w:rFonts w:cs="Calibri"/>
          <w:b w:val="false"/>
          <w:bCs w:val="false"/>
          <w:i w:val="false"/>
          <w:color w:val="auto"/>
          <w:sz w:val="24"/>
          <w:szCs w:val="24"/>
        </w:rPr>
      </w:r>
    </w:p>
    <w:p>
      <w:pPr>
        <w:pStyle w:val="Normal"/>
        <w:rPr>
          <w:rFonts w:ascii="Calibri" w:hAnsi="Calibri"/>
          <w:sz w:val="24"/>
          <w:szCs w:val="24"/>
        </w:rPr>
      </w:pPr>
      <w:r>
        <w:rPr>
          <w:rFonts w:cs="Calibri"/>
          <w:b w:val="false"/>
          <w:bCs w:val="false"/>
          <w:i w:val="false"/>
          <w:color w:val="auto"/>
          <w:sz w:val="24"/>
          <w:szCs w:val="24"/>
        </w:rPr>
        <w:t>ΣΤΟΙΧΕΙΑ ΠΡΟΣΦΕΡΟΝΤΟΣ: ………………………..</w:t>
      </w:r>
    </w:p>
    <w:p>
      <w:pPr>
        <w:pStyle w:val="Normal"/>
        <w:rPr>
          <w:rFonts w:ascii="Calibri" w:hAnsi="Calibri"/>
          <w:sz w:val="24"/>
          <w:szCs w:val="24"/>
        </w:rPr>
      </w:pPr>
      <w:r>
        <w:rPr>
          <w:rFonts w:cs="Calibri"/>
          <w:b w:val="false"/>
          <w:bCs w:val="false"/>
          <w:i w:val="false"/>
          <w:color w:val="auto"/>
          <w:sz w:val="24"/>
          <w:szCs w:val="24"/>
        </w:rPr>
        <w:t>ΔΙΕΥΘΥΝΣΗ: ………………………..</w:t>
      </w:r>
    </w:p>
    <w:p>
      <w:pPr>
        <w:pStyle w:val="Normal"/>
        <w:rPr>
          <w:rFonts w:ascii="Calibri" w:hAnsi="Calibri"/>
          <w:sz w:val="24"/>
          <w:szCs w:val="24"/>
        </w:rPr>
      </w:pPr>
      <w:r>
        <w:rPr>
          <w:rFonts w:cs="Calibri"/>
          <w:b w:val="false"/>
          <w:bCs w:val="false"/>
          <w:i w:val="false"/>
          <w:color w:val="auto"/>
          <w:sz w:val="24"/>
          <w:szCs w:val="24"/>
        </w:rPr>
        <w:t>ΤΗΛΕΦΩΝΟ:  ………………………..</w:t>
      </w:r>
    </w:p>
    <w:p>
      <w:pPr>
        <w:pStyle w:val="Normal"/>
        <w:rPr>
          <w:rFonts w:ascii="Calibri" w:hAnsi="Calibri"/>
          <w:sz w:val="24"/>
          <w:szCs w:val="24"/>
        </w:rPr>
      </w:pPr>
      <w:r>
        <w:rPr>
          <w:rFonts w:cs="Calibri"/>
          <w:b w:val="false"/>
          <w:bCs w:val="false"/>
          <w:i w:val="false"/>
          <w:color w:val="auto"/>
          <w:sz w:val="24"/>
          <w:szCs w:val="24"/>
        </w:rPr>
        <w:t>Ε-MAIL: ………………….</w:t>
      </w:r>
    </w:p>
    <w:p>
      <w:pPr>
        <w:pStyle w:val="Normal"/>
        <w:rPr>
          <w:rFonts w:ascii="Calibri" w:hAnsi="Calibri"/>
          <w:sz w:val="24"/>
          <w:szCs w:val="24"/>
        </w:rPr>
      </w:pPr>
      <w:r>
        <w:rPr>
          <w:rFonts w:cs="Calibri"/>
          <w:b w:val="false"/>
          <w:bCs w:val="false"/>
          <w:i w:val="false"/>
          <w:color w:val="auto"/>
          <w:sz w:val="24"/>
          <w:szCs w:val="24"/>
          <w:lang w:val="el-GR"/>
        </w:rPr>
        <w:t>ΙΣΧΥ ΠΡΟΣΦΟΡΑΣ:…………………….</w:t>
      </w:r>
    </w:p>
    <w:p>
      <w:pPr>
        <w:pStyle w:val="Normal"/>
        <w:jc w:val="both"/>
        <w:rPr>
          <w:sz w:val="22"/>
          <w:szCs w:val="22"/>
        </w:rPr>
      </w:pPr>
      <w:r>
        <w:rPr>
          <w:rFonts w:cs="Calibri"/>
          <w:b w:val="false"/>
          <w:bCs w:val="false"/>
          <w:i w:val="false"/>
          <w:color w:val="auto"/>
          <w:sz w:val="22"/>
          <w:szCs w:val="22"/>
        </w:rPr>
        <w:t xml:space="preserve">ΘΕΜΑ: Οικονομική Προσφορά Στο πλαίσιο διενέργειας Ηλεκτρονικού Διαγωνισμού σύμφωνα με την υπ. </w:t>
      </w:r>
      <w:r>
        <w:rPr>
          <w:rFonts w:cs="Calibri"/>
          <w:b w:val="false"/>
          <w:bCs w:val="false"/>
          <w:i w:val="false"/>
          <w:color w:val="auto"/>
          <w:sz w:val="22"/>
          <w:szCs w:val="22"/>
        </w:rPr>
        <w:t>α</w:t>
      </w:r>
      <w:r>
        <w:rPr>
          <w:rFonts w:cs="Calibri"/>
          <w:b w:val="false"/>
          <w:bCs w:val="false"/>
          <w:i w:val="false"/>
          <w:color w:val="auto"/>
          <w:sz w:val="22"/>
          <w:szCs w:val="22"/>
        </w:rPr>
        <w:t>ριθμ.</w:t>
      </w:r>
      <w:r>
        <w:rPr>
          <w:rFonts w:cs="Calibri"/>
          <w:b w:val="false"/>
          <w:bCs w:val="false"/>
          <w:i w:val="false"/>
          <w:color w:val="auto"/>
          <w:sz w:val="22"/>
          <w:szCs w:val="22"/>
        </w:rPr>
        <w:t xml:space="preserve">2478/08-02-2023 </w:t>
      </w:r>
      <w:r>
        <w:rPr>
          <w:rFonts w:cs="Calibri"/>
          <w:b w:val="false"/>
          <w:bCs w:val="false"/>
          <w:i w:val="false"/>
          <w:color w:val="auto"/>
          <w:sz w:val="22"/>
          <w:szCs w:val="22"/>
        </w:rPr>
        <w:t xml:space="preserve">Πρόσκληση και τις σχετικές ανακοινώσεις-δημοσιεύσεις, σας υποβάλλουμε την ακόλουθη προσφορά: </w:t>
      </w:r>
    </w:p>
    <w:p>
      <w:pPr>
        <w:pStyle w:val="Normal"/>
        <w:rPr>
          <w:rFonts w:ascii="Calibri" w:hAnsi="Calibri"/>
          <w:sz w:val="24"/>
          <w:szCs w:val="24"/>
        </w:rPr>
      </w:pPr>
      <w:r>
        <w:rPr>
          <w:rFonts w:cs="Calibri-Bold"/>
          <w:b/>
          <w:bCs/>
          <w:i w:val="false"/>
          <w:color w:val="auto"/>
          <w:sz w:val="24"/>
          <w:szCs w:val="24"/>
          <w:lang w:val="el-GR"/>
        </w:rPr>
        <w:t>ΤΜΗΜΑ:</w:t>
      </w:r>
      <w:r>
        <w:rPr>
          <w:rFonts w:cs="Calibri-Bold"/>
          <w:b/>
          <w:bCs/>
          <w:i w:val="false"/>
          <w:color w:val="auto"/>
          <w:sz w:val="24"/>
          <w:szCs w:val="24"/>
        </w:rPr>
        <w:t xml:space="preserve"> ………………….</w:t>
      </w:r>
    </w:p>
    <w:p>
      <w:pPr>
        <w:pStyle w:val="Normal"/>
        <w:rPr>
          <w:rFonts w:ascii="Calibri" w:hAnsi="Calibri"/>
          <w:sz w:val="24"/>
          <w:szCs w:val="24"/>
        </w:rPr>
      </w:pPr>
      <w:r>
        <w:rPr>
          <w:rFonts w:cs="Calibri-Bold"/>
          <w:b/>
          <w:bCs/>
          <w:i w:val="false"/>
          <w:color w:val="auto"/>
          <w:sz w:val="24"/>
          <w:szCs w:val="24"/>
          <w:u w:val="single"/>
        </w:rPr>
        <w:t>Πίνακας 1.</w:t>
      </w:r>
      <w:r>
        <w:rPr>
          <w:rFonts w:cs="Calibri-Bold"/>
          <w:b/>
          <w:bCs/>
          <w:i w:val="false"/>
          <w:color w:val="auto"/>
          <w:sz w:val="24"/>
          <w:szCs w:val="24"/>
          <w:u w:val="single"/>
          <w:lang w:val="el-GR"/>
        </w:rPr>
        <w:t>1</w:t>
      </w:r>
      <w:r>
        <w:rPr>
          <w:rFonts w:cs="Calibri-Bold"/>
          <w:b/>
          <w:bCs/>
          <w:i w:val="false"/>
          <w:color w:val="auto"/>
          <w:sz w:val="24"/>
          <w:szCs w:val="24"/>
          <w:u w:val="single"/>
        </w:rPr>
        <w:t xml:space="preserve"> ( ανάλυση κόστους </w:t>
      </w:r>
      <w:r>
        <w:rPr>
          <w:rFonts w:cs="Calibri-Bold"/>
          <w:b/>
          <w:bCs/>
          <w:i w:val="false"/>
          <w:color w:val="auto"/>
          <w:sz w:val="24"/>
          <w:szCs w:val="24"/>
          <w:u w:val="single"/>
          <w:lang w:val="el-GR"/>
        </w:rPr>
        <w:t>ΑΝΤΙΔΡΑΣΤΗΡΙΩΝ</w:t>
      </w:r>
      <w:r>
        <w:rPr>
          <w:rFonts w:cs="Calibri-Bold"/>
          <w:b/>
          <w:bCs/>
          <w:i w:val="false"/>
          <w:color w:val="auto"/>
          <w:sz w:val="24"/>
          <w:szCs w:val="24"/>
          <w:u w:val="single"/>
        </w:rPr>
        <w:t>)</w:t>
      </w:r>
    </w:p>
    <w:tbl>
      <w:tblPr>
        <w:tblW w:w="9638" w:type="dxa"/>
        <w:jc w:val="center"/>
        <w:tblInd w:w="0" w:type="dxa"/>
        <w:tblLayout w:type="fixed"/>
        <w:tblCellMar>
          <w:top w:w="50" w:type="dxa"/>
          <w:left w:w="50" w:type="dxa"/>
          <w:bottom w:w="50" w:type="dxa"/>
          <w:right w:w="50" w:type="dxa"/>
        </w:tblCellMar>
      </w:tblPr>
      <w:tblGrid>
        <w:gridCol w:w="394"/>
        <w:gridCol w:w="872"/>
        <w:gridCol w:w="796"/>
        <w:gridCol w:w="768"/>
        <w:gridCol w:w="797"/>
        <w:gridCol w:w="853"/>
        <w:gridCol w:w="750"/>
        <w:gridCol w:w="1003"/>
        <w:gridCol w:w="1195"/>
        <w:gridCol w:w="680"/>
        <w:gridCol w:w="624"/>
        <w:gridCol w:w="905"/>
      </w:tblGrid>
      <w:tr>
        <w:trPr/>
        <w:tc>
          <w:tcPr>
            <w:tcW w:w="394" w:type="dxa"/>
            <w:tcBorders>
              <w:top w:val="single" w:sz="4" w:space="0" w:color="000000"/>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r>
          </w:p>
        </w:tc>
        <w:tc>
          <w:tcPr>
            <w:tcW w:w="872"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rPr>
            </w:pPr>
            <w:r>
              <w:rPr>
                <w:rFonts w:cs="Calibri"/>
                <w:b w:val="false"/>
                <w:i w:val="false"/>
                <w:color w:val="000000"/>
                <w:kern w:val="2"/>
                <w:sz w:val="16"/>
                <w:szCs w:val="16"/>
              </w:rPr>
              <w:t>1</w:t>
            </w:r>
          </w:p>
        </w:tc>
        <w:tc>
          <w:tcPr>
            <w:tcW w:w="796"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rPr>
            </w:pPr>
            <w:r>
              <w:rPr>
                <w:rFonts w:cs="Calibri"/>
                <w:b w:val="false"/>
                <w:i w:val="false"/>
                <w:color w:val="000000"/>
                <w:kern w:val="2"/>
                <w:sz w:val="16"/>
                <w:szCs w:val="16"/>
              </w:rPr>
              <w:t>2</w:t>
            </w:r>
          </w:p>
        </w:tc>
        <w:tc>
          <w:tcPr>
            <w:tcW w:w="768"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rPr>
            </w:pPr>
            <w:r>
              <w:rPr>
                <w:rFonts w:cs="Calibri"/>
                <w:b w:val="false"/>
                <w:i w:val="false"/>
                <w:color w:val="000000"/>
                <w:kern w:val="2"/>
                <w:sz w:val="16"/>
                <w:szCs w:val="16"/>
              </w:rPr>
              <w:t>3</w:t>
            </w:r>
          </w:p>
        </w:tc>
        <w:tc>
          <w:tcPr>
            <w:tcW w:w="797"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4</w:t>
            </w:r>
          </w:p>
        </w:tc>
        <w:tc>
          <w:tcPr>
            <w:tcW w:w="853"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5</w:t>
            </w:r>
          </w:p>
        </w:tc>
        <w:tc>
          <w:tcPr>
            <w:tcW w:w="750"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6</w:t>
            </w:r>
          </w:p>
        </w:tc>
        <w:tc>
          <w:tcPr>
            <w:tcW w:w="1003"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7</w:t>
            </w:r>
          </w:p>
        </w:tc>
        <w:tc>
          <w:tcPr>
            <w:tcW w:w="1195"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8=6*7</w:t>
            </w:r>
          </w:p>
        </w:tc>
        <w:tc>
          <w:tcPr>
            <w:tcW w:w="680"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9</w:t>
            </w:r>
          </w:p>
        </w:tc>
        <w:tc>
          <w:tcPr>
            <w:tcW w:w="624" w:type="dxa"/>
            <w:tcBorders>
              <w:top w:val="single" w:sz="4" w:space="0" w:color="000000"/>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10=8*9</w:t>
            </w:r>
          </w:p>
        </w:tc>
        <w:tc>
          <w:tcPr>
            <w:tcW w:w="9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11=8+10</w:t>
            </w:r>
          </w:p>
        </w:tc>
      </w:tr>
      <w:tr>
        <w:trPr/>
        <w:tc>
          <w:tcPr>
            <w:tcW w:w="394"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lang w:val="el-GR"/>
              </w:rPr>
              <w:t>α/α</w:t>
            </w:r>
          </w:p>
        </w:tc>
        <w:tc>
          <w:tcPr>
            <w:tcW w:w="872" w:type="dxa"/>
            <w:tcBorders>
              <w:left w:val="single" w:sz="4" w:space="0" w:color="000000"/>
              <w:bottom w:val="single" w:sz="4" w:space="0" w:color="000000"/>
            </w:tcBorders>
          </w:tcPr>
          <w:p>
            <w:pPr>
              <w:pStyle w:val="Normal"/>
              <w:widowControl w:val="false"/>
              <w:jc w:val="center"/>
              <w:rPr>
                <w:rFonts w:cs="Calibri"/>
                <w:b w:val="false"/>
                <w:b w:val="false"/>
                <w:i w:val="false"/>
                <w:i w:val="false"/>
                <w:color w:val="000000"/>
                <w:kern w:val="2"/>
                <w:sz w:val="14"/>
                <w:szCs w:val="14"/>
              </w:rPr>
            </w:pPr>
            <w:r>
              <w:rPr>
                <w:rFonts w:cs="Calibri"/>
                <w:b w:val="false"/>
                <w:i w:val="false"/>
                <w:color w:val="000000"/>
                <w:kern w:val="2"/>
                <w:sz w:val="14"/>
                <w:szCs w:val="14"/>
              </w:rPr>
              <w:t>Όνομα</w:t>
            </w:r>
          </w:p>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rPr>
              <w:t>εξέτασης</w:t>
            </w:r>
          </w:p>
        </w:tc>
        <w:tc>
          <w:tcPr>
            <w:tcW w:w="796" w:type="dxa"/>
            <w:tcBorders>
              <w:left w:val="single" w:sz="4" w:space="0" w:color="000000"/>
              <w:bottom w:val="single" w:sz="4" w:space="0" w:color="000000"/>
            </w:tcBorders>
          </w:tcPr>
          <w:p>
            <w:pPr>
              <w:pStyle w:val="Normal"/>
              <w:widowControl w:val="false"/>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Αριθμός</w:t>
            </w:r>
          </w:p>
          <w:p>
            <w:pPr>
              <w:pStyle w:val="Normal"/>
              <w:widowControl w:val="false"/>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εξετάσεων</w:t>
            </w:r>
          </w:p>
          <w:p>
            <w:pPr>
              <w:pStyle w:val="Normal"/>
              <w:widowControl w:val="false"/>
              <w:spacing w:before="0" w:after="120"/>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ετησίως</w:t>
            </w:r>
          </w:p>
        </w:tc>
        <w:tc>
          <w:tcPr>
            <w:tcW w:w="768" w:type="dxa"/>
            <w:tcBorders>
              <w:left w:val="single" w:sz="4" w:space="0" w:color="000000"/>
              <w:bottom w:val="single" w:sz="4" w:space="0" w:color="000000"/>
            </w:tcBorders>
          </w:tcPr>
          <w:p>
            <w:pPr>
              <w:pStyle w:val="Normal"/>
              <w:widowControl w:val="false"/>
              <w:jc w:val="center"/>
              <w:rPr/>
            </w:pPr>
            <w:r>
              <w:rPr>
                <w:rFonts w:cs="Calibri"/>
                <w:b w:val="false"/>
                <w:i w:val="false"/>
                <w:color w:val="000000"/>
                <w:kern w:val="2"/>
                <w:sz w:val="14"/>
                <w:szCs w:val="14"/>
              </w:rPr>
              <w:t>Αντιδραστήρι</w:t>
            </w:r>
            <w:r>
              <w:rPr>
                <w:rFonts w:cs="Calibri"/>
                <w:b w:val="false"/>
                <w:i w:val="false"/>
                <w:color w:val="000000"/>
                <w:kern w:val="2"/>
                <w:sz w:val="14"/>
                <w:szCs w:val="14"/>
                <w:lang w:val="el-GR"/>
              </w:rPr>
              <w:t>ο κωδικός</w:t>
            </w:r>
          </w:p>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r>
          </w:p>
        </w:tc>
        <w:tc>
          <w:tcPr>
            <w:tcW w:w="797" w:type="dxa"/>
            <w:tcBorders>
              <w:left w:val="single" w:sz="4" w:space="0" w:color="000000"/>
              <w:bottom w:val="single" w:sz="4" w:space="0" w:color="000000"/>
            </w:tcBorders>
          </w:tcPr>
          <w:p>
            <w:pPr>
              <w:pStyle w:val="Normal"/>
              <w:widowControl w:val="false"/>
              <w:spacing w:before="0" w:after="120"/>
              <w:jc w:val="center"/>
              <w:rPr/>
            </w:pPr>
            <w:r>
              <w:rPr>
                <w:rFonts w:cs="Calibri"/>
                <w:b w:val="false"/>
                <w:i w:val="false"/>
                <w:color w:val="000000"/>
                <w:kern w:val="2"/>
                <w:sz w:val="14"/>
                <w:szCs w:val="14"/>
              </w:rPr>
              <w:t>Αντιδραστήρι</w:t>
            </w:r>
            <w:r>
              <w:rPr>
                <w:rFonts w:cs="Calibri"/>
                <w:b w:val="false"/>
                <w:i w:val="false"/>
                <w:color w:val="000000"/>
                <w:kern w:val="2"/>
                <w:sz w:val="14"/>
                <w:szCs w:val="14"/>
                <w:lang w:val="el-GR"/>
              </w:rPr>
              <w:t>ο περιγραφή</w:t>
            </w:r>
          </w:p>
        </w:tc>
        <w:tc>
          <w:tcPr>
            <w:tcW w:w="853" w:type="dxa"/>
            <w:tcBorders>
              <w:left w:val="single" w:sz="4" w:space="0" w:color="000000"/>
              <w:bottom w:val="single" w:sz="4" w:space="0" w:color="000000"/>
            </w:tcBorders>
          </w:tcPr>
          <w:p>
            <w:pPr>
              <w:pStyle w:val="Normal"/>
              <w:widowControl w:val="false"/>
              <w:jc w:val="center"/>
              <w:rPr>
                <w:rFonts w:cs="Calibri"/>
                <w:b w:val="false"/>
                <w:b w:val="false"/>
                <w:i w:val="false"/>
                <w:i w:val="false"/>
                <w:color w:val="000000"/>
                <w:kern w:val="2"/>
                <w:sz w:val="14"/>
                <w:szCs w:val="14"/>
              </w:rPr>
            </w:pPr>
            <w:r>
              <w:rPr>
                <w:rFonts w:cs="Calibri"/>
                <w:b w:val="false"/>
                <w:i w:val="false"/>
                <w:color w:val="000000"/>
                <w:kern w:val="2"/>
                <w:sz w:val="14"/>
                <w:szCs w:val="14"/>
              </w:rPr>
              <w:t>Εξετάσεις /</w:t>
            </w:r>
          </w:p>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συσκευασία</w:t>
            </w:r>
          </w:p>
        </w:tc>
        <w:tc>
          <w:tcPr>
            <w:tcW w:w="750" w:type="dxa"/>
            <w:tcBorders>
              <w:left w:val="single" w:sz="4" w:space="0" w:color="000000"/>
              <w:bottom w:val="single" w:sz="4" w:space="0" w:color="000000"/>
            </w:tcBorders>
          </w:tcPr>
          <w:p>
            <w:pPr>
              <w:pStyle w:val="Normal"/>
              <w:widowControl w:val="false"/>
              <w:jc w:val="center"/>
              <w:rPr/>
            </w:pPr>
            <w:r>
              <w:rPr>
                <w:rFonts w:cs="Calibri"/>
                <w:b w:val="false"/>
                <w:i w:val="false"/>
                <w:color w:val="000000"/>
                <w:kern w:val="2"/>
                <w:sz w:val="14"/>
                <w:szCs w:val="14"/>
              </w:rPr>
              <w:t xml:space="preserve">Τιμή </w:t>
            </w:r>
            <w:r>
              <w:rPr>
                <w:rFonts w:cs="Calibri"/>
                <w:b w:val="false"/>
                <w:i w:val="false"/>
                <w:color w:val="000000"/>
                <w:kern w:val="2"/>
                <w:sz w:val="14"/>
                <w:szCs w:val="14"/>
                <w:lang w:val="el-GR"/>
              </w:rPr>
              <w:t xml:space="preserve">€ </w:t>
            </w:r>
            <w:r>
              <w:rPr>
                <w:rFonts w:cs="Calibri"/>
                <w:b w:val="false"/>
                <w:i w:val="false"/>
                <w:color w:val="000000"/>
                <w:kern w:val="2"/>
                <w:sz w:val="14"/>
                <w:szCs w:val="14"/>
              </w:rPr>
              <w:t>/</w:t>
            </w:r>
          </w:p>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συσκευασία</w:t>
            </w:r>
          </w:p>
        </w:tc>
        <w:tc>
          <w:tcPr>
            <w:tcW w:w="1003" w:type="dxa"/>
            <w:tcBorders>
              <w:left w:val="single" w:sz="4" w:space="0" w:color="000000"/>
              <w:bottom w:val="single" w:sz="4" w:space="0" w:color="000000"/>
            </w:tcBorders>
          </w:tcPr>
          <w:p>
            <w:pPr>
              <w:pStyle w:val="Normal"/>
              <w:widowControl w:val="false"/>
              <w:jc w:val="center"/>
              <w:rPr>
                <w:rFonts w:cs="Calibri"/>
                <w:b w:val="false"/>
                <w:b w:val="false"/>
                <w:i w:val="false"/>
                <w:i w:val="false"/>
                <w:color w:val="000000"/>
                <w:kern w:val="2"/>
                <w:sz w:val="14"/>
                <w:szCs w:val="14"/>
              </w:rPr>
            </w:pPr>
            <w:r>
              <w:rPr>
                <w:rFonts w:cs="Calibri"/>
                <w:b w:val="false"/>
                <w:i w:val="false"/>
                <w:color w:val="000000"/>
                <w:kern w:val="2"/>
                <w:sz w:val="14"/>
                <w:szCs w:val="14"/>
              </w:rPr>
              <w:t>Απαιτούμενες</w:t>
            </w:r>
          </w:p>
          <w:p>
            <w:pPr>
              <w:pStyle w:val="Normal"/>
              <w:widowControl w:val="false"/>
              <w:jc w:val="center"/>
              <w:rPr>
                <w:rFonts w:cs="Calibri"/>
                <w:b w:val="false"/>
                <w:b w:val="false"/>
                <w:i w:val="false"/>
                <w:i w:val="false"/>
                <w:color w:val="000000"/>
                <w:kern w:val="2"/>
                <w:sz w:val="14"/>
                <w:szCs w:val="14"/>
              </w:rPr>
            </w:pPr>
            <w:r>
              <w:rPr>
                <w:rFonts w:cs="Calibri"/>
                <w:b w:val="false"/>
                <w:i w:val="false"/>
                <w:color w:val="000000"/>
                <w:kern w:val="2"/>
                <w:sz w:val="14"/>
                <w:szCs w:val="14"/>
              </w:rPr>
              <w:t>συσκευασίες /</w:t>
            </w:r>
          </w:p>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rPr>
              <w:t>έτος</w:t>
            </w:r>
          </w:p>
        </w:tc>
        <w:tc>
          <w:tcPr>
            <w:tcW w:w="1195"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Τιμή € χωρίς ΦΠΑ για τις απαιτούμενες εξετάσεις (ΑΝΤΙΔΡΑΣΤΗΡΙΑ)</w:t>
            </w:r>
          </w:p>
        </w:tc>
        <w:tc>
          <w:tcPr>
            <w:tcW w:w="680"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Ποσοστό % ΦΠΑ</w:t>
            </w:r>
          </w:p>
        </w:tc>
        <w:tc>
          <w:tcPr>
            <w:tcW w:w="624"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Ποσό ΦΠΑ σε €</w:t>
            </w:r>
          </w:p>
        </w:tc>
        <w:tc>
          <w:tcPr>
            <w:tcW w:w="905" w:type="dxa"/>
            <w:tcBorders>
              <w:left w:val="single" w:sz="4" w:space="0" w:color="000000"/>
              <w:bottom w:val="single" w:sz="4" w:space="0" w:color="000000"/>
              <w:right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lang w:val="el-GR"/>
              </w:rPr>
            </w:pPr>
            <w:r>
              <w:rPr>
                <w:rFonts w:cs="Calibri"/>
                <w:b w:val="false"/>
                <w:i w:val="false"/>
                <w:color w:val="000000"/>
                <w:kern w:val="2"/>
                <w:sz w:val="14"/>
                <w:szCs w:val="14"/>
                <w:lang w:val="el-GR"/>
              </w:rPr>
              <w:t>Τιμή €  με ΦΠΑ για τις απαιτούμενες εξετάσεις (ΑΝΤΙΔΡΑΣΤΗΡΙΑ)</w:t>
            </w:r>
          </w:p>
        </w:tc>
      </w:tr>
      <w:tr>
        <w:trPr/>
        <w:tc>
          <w:tcPr>
            <w:tcW w:w="394"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rPr>
            </w:pPr>
            <w:r>
              <w:rPr>
                <w:rFonts w:cs="Calibri"/>
                <w:b w:val="false"/>
                <w:i w:val="false"/>
                <w:color w:val="000000"/>
                <w:kern w:val="2"/>
                <w:sz w:val="16"/>
                <w:szCs w:val="16"/>
              </w:rPr>
              <w:t>1</w:t>
            </w:r>
          </w:p>
        </w:tc>
        <w:tc>
          <w:tcPr>
            <w:tcW w:w="872"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96"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6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97"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5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5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00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19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68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624"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05"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394"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rPr>
            </w:pPr>
            <w:r>
              <w:rPr>
                <w:rFonts w:cs="Calibri"/>
                <w:b w:val="false"/>
                <w:i w:val="false"/>
                <w:color w:val="000000"/>
                <w:kern w:val="2"/>
                <w:sz w:val="16"/>
                <w:szCs w:val="16"/>
              </w:rPr>
              <w:t>2</w:t>
            </w:r>
          </w:p>
        </w:tc>
        <w:tc>
          <w:tcPr>
            <w:tcW w:w="872"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96"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6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97"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5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5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00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19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68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624"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05"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394" w:type="dxa"/>
            <w:tcBorders>
              <w:left w:val="single" w:sz="4" w:space="0" w:color="000000"/>
              <w:bottom w:val="single" w:sz="4" w:space="0" w:color="000000"/>
            </w:tcBorders>
          </w:tcPr>
          <w:p>
            <w:pPr>
              <w:pStyle w:val="Normal"/>
              <w:widowControl w:val="false"/>
              <w:spacing w:before="0" w:after="120"/>
              <w:jc w:val="center"/>
              <w:rPr/>
            </w:pPr>
            <w:r>
              <w:rPr>
                <w:rFonts w:cs="Calibri"/>
                <w:b w:val="false"/>
                <w:i w:val="false"/>
                <w:color w:val="000000"/>
                <w:kern w:val="2"/>
                <w:sz w:val="16"/>
                <w:szCs w:val="16"/>
              </w:rPr>
              <w:t>…</w:t>
            </w:r>
            <w:r>
              <w:rPr>
                <w:rFonts w:cs="Calibri"/>
                <w:b w:val="false"/>
                <w:i w:val="false"/>
                <w:color w:val="000000"/>
                <w:kern w:val="2"/>
                <w:sz w:val="16"/>
                <w:szCs w:val="16"/>
              </w:rPr>
              <w:t>...</w:t>
            </w:r>
          </w:p>
        </w:tc>
        <w:tc>
          <w:tcPr>
            <w:tcW w:w="872"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796"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76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797"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85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75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100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119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68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624"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905"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r>
      <w:tr>
        <w:trPr/>
        <w:tc>
          <w:tcPr>
            <w:tcW w:w="6233" w:type="dxa"/>
            <w:gridSpan w:val="8"/>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6"/>
                <w:szCs w:val="16"/>
                <w:lang w:val="el-GR"/>
              </w:rPr>
            </w:pPr>
            <w:r>
              <w:rPr>
                <w:rFonts w:cs="Calibri"/>
                <w:b w:val="false"/>
                <w:i w:val="false"/>
                <w:color w:val="000000"/>
                <w:kern w:val="2"/>
                <w:sz w:val="16"/>
                <w:szCs w:val="16"/>
                <w:lang w:val="el-GR"/>
              </w:rPr>
              <w:t>Συνολικό Κόστος Αντιδραστηρίων Τμήματος</w:t>
            </w:r>
          </w:p>
        </w:tc>
        <w:tc>
          <w:tcPr>
            <w:tcW w:w="119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c>
          <w:tcPr>
            <w:tcW w:w="2209" w:type="dxa"/>
            <w:gridSpan w:val="3"/>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rPr>
            </w:pPr>
            <w:r>
              <w:rPr>
                <w:rFonts w:cs="Calibri"/>
                <w:b w:val="false"/>
                <w:i w:val="false"/>
                <w:color w:val="000000"/>
                <w:kern w:val="2"/>
                <w:sz w:val="22"/>
              </w:rPr>
            </w:r>
          </w:p>
        </w:tc>
      </w:tr>
    </w:tbl>
    <w:p>
      <w:pPr>
        <w:pStyle w:val="Normal"/>
        <w:spacing w:before="0" w:after="0"/>
        <w:rPr/>
      </w:pPr>
      <w:r>
        <w:rPr/>
      </w:r>
    </w:p>
    <w:p>
      <w:pPr>
        <w:pStyle w:val="Normal"/>
        <w:spacing w:before="0" w:after="0"/>
        <w:jc w:val="both"/>
        <w:rPr>
          <w:sz w:val="22"/>
          <w:szCs w:val="22"/>
        </w:rPr>
      </w:pPr>
      <w:r>
        <w:rPr>
          <w:rFonts w:cs="Calibri"/>
          <w:b w:val="false"/>
          <w:i w:val="false"/>
          <w:color w:val="000000"/>
          <w:kern w:val="2"/>
          <w:sz w:val="22"/>
          <w:szCs w:val="22"/>
          <w:lang w:val="el-GR"/>
        </w:rPr>
        <w:t>1</w:t>
      </w:r>
      <w:r>
        <w:rPr>
          <w:rFonts w:cs="Calibri"/>
          <w:b w:val="false"/>
          <w:i w:val="false"/>
          <w:color w:val="000000"/>
          <w:kern w:val="2"/>
          <w:sz w:val="22"/>
          <w:szCs w:val="22"/>
        </w:rPr>
        <w:t>. Συμπληρώνετε στην στήλη 1 του πίνακα ανάλυσης κόστους το όνομα της εξέτασης έτσι όπως αναφέρεται στην στήλη 1 του παραρτήματος 2.</w:t>
      </w:r>
    </w:p>
    <w:p>
      <w:pPr>
        <w:pStyle w:val="Normal"/>
        <w:spacing w:before="0" w:after="0"/>
        <w:jc w:val="both"/>
        <w:rPr>
          <w:sz w:val="22"/>
          <w:szCs w:val="22"/>
        </w:rPr>
      </w:pPr>
      <w:r>
        <w:rPr>
          <w:rFonts w:cs="Calibri"/>
          <w:b w:val="false"/>
          <w:i w:val="false"/>
          <w:color w:val="000000"/>
          <w:kern w:val="2"/>
          <w:sz w:val="22"/>
          <w:szCs w:val="22"/>
          <w:lang w:val="el-GR"/>
        </w:rPr>
        <w:t>2</w:t>
      </w:r>
      <w:r>
        <w:rPr>
          <w:rFonts w:cs="Calibri"/>
          <w:b w:val="false"/>
          <w:i w:val="false"/>
          <w:color w:val="000000"/>
          <w:kern w:val="2"/>
          <w:sz w:val="22"/>
          <w:szCs w:val="22"/>
        </w:rPr>
        <w:t>. Συμπληρώνετε στην στήλη 2 του πίνακα τον ετήσιο αριθμό της εξέτασης έτσι όπως αναφέρεται στην στήλη</w:t>
      </w:r>
      <w:r>
        <w:rPr>
          <w:rFonts w:cs="Calibri"/>
          <w:b w:val="false"/>
          <w:i w:val="false"/>
          <w:color w:val="000000"/>
          <w:kern w:val="2"/>
          <w:sz w:val="22"/>
          <w:szCs w:val="22"/>
          <w:lang w:val="el-GR"/>
        </w:rPr>
        <w:t xml:space="preserve"> 2 </w:t>
      </w:r>
      <w:r>
        <w:rPr>
          <w:rFonts w:cs="Calibri"/>
          <w:b w:val="false"/>
          <w:i w:val="false"/>
          <w:color w:val="000000"/>
          <w:kern w:val="2"/>
          <w:sz w:val="22"/>
          <w:szCs w:val="22"/>
        </w:rPr>
        <w:t>του παραρτήματος 2</w:t>
      </w:r>
    </w:p>
    <w:p>
      <w:pPr>
        <w:pStyle w:val="Normal"/>
        <w:spacing w:before="0" w:after="0"/>
        <w:jc w:val="both"/>
        <w:rPr>
          <w:sz w:val="22"/>
          <w:szCs w:val="22"/>
        </w:rPr>
      </w:pPr>
      <w:r>
        <w:rPr>
          <w:rFonts w:cs="Calibri"/>
          <w:b w:val="false"/>
          <w:i w:val="false"/>
          <w:color w:val="000000"/>
          <w:kern w:val="2"/>
          <w:sz w:val="22"/>
          <w:szCs w:val="22"/>
          <w:lang w:val="el-GR"/>
        </w:rPr>
        <w:t>3</w:t>
      </w:r>
      <w:r>
        <w:rPr>
          <w:rFonts w:cs="Calibri"/>
          <w:b w:val="false"/>
          <w:i w:val="false"/>
          <w:color w:val="000000"/>
          <w:kern w:val="2"/>
          <w:sz w:val="22"/>
          <w:szCs w:val="22"/>
        </w:rPr>
        <w:t>. Συμπληρώνετε στην στήλη 3 του πίνακα τ</w:t>
      </w:r>
      <w:r>
        <w:rPr>
          <w:rFonts w:cs="Calibri"/>
          <w:b w:val="false"/>
          <w:i w:val="false"/>
          <w:color w:val="000000"/>
          <w:kern w:val="2"/>
          <w:sz w:val="22"/>
          <w:szCs w:val="22"/>
          <w:lang w:val="el-GR"/>
        </w:rPr>
        <w:t xml:space="preserve">ον κωδικό του </w:t>
      </w:r>
      <w:r>
        <w:rPr>
          <w:rFonts w:cs="Calibri"/>
          <w:b w:val="false"/>
          <w:i w:val="false"/>
          <w:color w:val="000000"/>
          <w:kern w:val="2"/>
          <w:sz w:val="22"/>
          <w:szCs w:val="22"/>
        </w:rPr>
        <w:t>αντιδραστηρί</w:t>
      </w:r>
      <w:r>
        <w:rPr>
          <w:rFonts w:cs="Calibri"/>
          <w:b w:val="false"/>
          <w:i w:val="false"/>
          <w:color w:val="000000"/>
          <w:kern w:val="2"/>
          <w:sz w:val="22"/>
          <w:szCs w:val="22"/>
          <w:lang w:val="el-GR"/>
        </w:rPr>
        <w:t>ου</w:t>
      </w:r>
      <w:r>
        <w:rPr>
          <w:rFonts w:cs="Calibri"/>
          <w:b w:val="false"/>
          <w:i w:val="false"/>
          <w:color w:val="000000"/>
          <w:kern w:val="2"/>
          <w:sz w:val="22"/>
          <w:szCs w:val="22"/>
        </w:rPr>
        <w:t xml:space="preserve"> για την συγκεκριμένη εξέταση.</w:t>
      </w:r>
    </w:p>
    <w:p>
      <w:pPr>
        <w:pStyle w:val="Normal"/>
        <w:spacing w:before="0" w:after="0"/>
        <w:jc w:val="both"/>
        <w:rPr>
          <w:sz w:val="22"/>
          <w:szCs w:val="22"/>
        </w:rPr>
      </w:pPr>
      <w:r>
        <w:rPr>
          <w:rFonts w:cs="Calibri"/>
          <w:b w:val="false"/>
          <w:i w:val="false"/>
          <w:color w:val="000000"/>
          <w:kern w:val="2"/>
          <w:sz w:val="22"/>
          <w:szCs w:val="22"/>
          <w:lang w:val="el-GR"/>
        </w:rPr>
        <w:t>4</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4 </w:t>
      </w:r>
      <w:r>
        <w:rPr>
          <w:rFonts w:cs="Calibri"/>
          <w:b w:val="false"/>
          <w:i w:val="false"/>
          <w:color w:val="000000"/>
          <w:kern w:val="2"/>
          <w:sz w:val="22"/>
          <w:szCs w:val="22"/>
        </w:rPr>
        <w:t xml:space="preserve">του πίνακα </w:t>
      </w:r>
      <w:r>
        <w:rPr>
          <w:rFonts w:cs="Calibri"/>
          <w:b w:val="false"/>
          <w:i w:val="false"/>
          <w:color w:val="000000"/>
          <w:kern w:val="2"/>
          <w:sz w:val="22"/>
          <w:szCs w:val="22"/>
          <w:lang w:val="el-GR"/>
        </w:rPr>
        <w:t xml:space="preserve">την περιγραφή του </w:t>
      </w:r>
      <w:r>
        <w:rPr>
          <w:rFonts w:cs="Calibri"/>
          <w:b w:val="false"/>
          <w:i w:val="false"/>
          <w:color w:val="000000"/>
          <w:kern w:val="2"/>
          <w:sz w:val="22"/>
          <w:szCs w:val="22"/>
        </w:rPr>
        <w:t>αντιδραστηρί</w:t>
      </w:r>
      <w:r>
        <w:rPr>
          <w:rFonts w:cs="Calibri"/>
          <w:b w:val="false"/>
          <w:i w:val="false"/>
          <w:color w:val="000000"/>
          <w:kern w:val="2"/>
          <w:sz w:val="22"/>
          <w:szCs w:val="22"/>
          <w:lang w:val="el-GR"/>
        </w:rPr>
        <w:t>ου</w:t>
      </w:r>
      <w:r>
        <w:rPr>
          <w:rFonts w:cs="Calibri"/>
          <w:b w:val="false"/>
          <w:i w:val="false"/>
          <w:color w:val="000000"/>
          <w:kern w:val="2"/>
          <w:sz w:val="22"/>
          <w:szCs w:val="22"/>
        </w:rPr>
        <w:t xml:space="preserve"> για την συγκεκριμένη εξέταση.</w:t>
      </w:r>
    </w:p>
    <w:p>
      <w:pPr>
        <w:pStyle w:val="Normal"/>
        <w:spacing w:before="0" w:after="0"/>
        <w:jc w:val="both"/>
        <w:rPr>
          <w:sz w:val="22"/>
          <w:szCs w:val="22"/>
        </w:rPr>
      </w:pPr>
      <w:r>
        <w:rPr>
          <w:rFonts w:cs="Calibri"/>
          <w:b w:val="false"/>
          <w:i w:val="false"/>
          <w:color w:val="000000"/>
          <w:kern w:val="2"/>
          <w:sz w:val="22"/>
          <w:szCs w:val="22"/>
          <w:lang w:val="el-GR"/>
        </w:rPr>
        <w:t>5</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5 </w:t>
      </w:r>
      <w:r>
        <w:rPr>
          <w:rFonts w:cs="Calibri"/>
          <w:b w:val="false"/>
          <w:i w:val="false"/>
          <w:color w:val="000000"/>
          <w:kern w:val="2"/>
          <w:sz w:val="22"/>
          <w:szCs w:val="22"/>
        </w:rPr>
        <w:t>του πίνακα τον αριθμό εξετάσεων της συσκευασίας, για κάθε είδος αντιδραστηρίου της στήλης 3</w:t>
      </w:r>
    </w:p>
    <w:p>
      <w:pPr>
        <w:pStyle w:val="Normal"/>
        <w:spacing w:before="0" w:after="0"/>
        <w:jc w:val="both"/>
        <w:rPr>
          <w:sz w:val="22"/>
          <w:szCs w:val="22"/>
        </w:rPr>
      </w:pPr>
      <w:r>
        <w:rPr>
          <w:rFonts w:cs="Calibri"/>
          <w:b w:val="false"/>
          <w:i w:val="false"/>
          <w:color w:val="000000"/>
          <w:kern w:val="2"/>
          <w:sz w:val="22"/>
          <w:szCs w:val="22"/>
          <w:lang w:val="el-GR"/>
        </w:rPr>
        <w:t>6</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6 </w:t>
      </w:r>
      <w:r>
        <w:rPr>
          <w:rFonts w:cs="Calibri"/>
          <w:b w:val="false"/>
          <w:i w:val="false"/>
          <w:color w:val="000000"/>
          <w:kern w:val="2"/>
          <w:sz w:val="22"/>
          <w:szCs w:val="22"/>
        </w:rPr>
        <w:t>του πίνακα το αντίστοιχο κόστος της συσκευασίας.</w:t>
      </w:r>
    </w:p>
    <w:p>
      <w:pPr>
        <w:pStyle w:val="Normal"/>
        <w:spacing w:before="0" w:after="0"/>
        <w:jc w:val="both"/>
        <w:rPr>
          <w:sz w:val="22"/>
          <w:szCs w:val="22"/>
        </w:rPr>
      </w:pPr>
      <w:r>
        <w:rPr>
          <w:rFonts w:cs="Calibri"/>
          <w:b w:val="false"/>
          <w:i w:val="false"/>
          <w:color w:val="000000"/>
          <w:kern w:val="2"/>
          <w:sz w:val="22"/>
          <w:szCs w:val="22"/>
          <w:lang w:val="el-GR"/>
        </w:rPr>
        <w:t>7</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7 </w:t>
      </w:r>
      <w:r>
        <w:rPr>
          <w:rFonts w:cs="Calibri"/>
          <w:b w:val="false"/>
          <w:i w:val="false"/>
          <w:color w:val="000000"/>
          <w:kern w:val="2"/>
          <w:sz w:val="22"/>
          <w:szCs w:val="22"/>
        </w:rPr>
        <w:t>τον απαιτούμενο αριθμό συσκευασιών / έτος για</w:t>
      </w:r>
      <w:r>
        <w:rPr>
          <w:rFonts w:cs="Calibri"/>
          <w:b w:val="false"/>
          <w:i w:val="false"/>
          <w:color w:val="000000"/>
          <w:kern w:val="2"/>
          <w:sz w:val="22"/>
          <w:szCs w:val="22"/>
          <w:lang w:val="el-GR"/>
        </w:rPr>
        <w:t xml:space="preserve"> τον αριθμό των εξετάσεων </w:t>
      </w:r>
      <w:r>
        <w:rPr>
          <w:rFonts w:cs="Calibri"/>
          <w:b w:val="false"/>
          <w:i w:val="false"/>
          <w:color w:val="000000"/>
          <w:kern w:val="2"/>
          <w:sz w:val="22"/>
          <w:szCs w:val="22"/>
        </w:rPr>
        <w:t xml:space="preserve">της στήλης </w:t>
      </w:r>
      <w:r>
        <w:rPr>
          <w:rFonts w:cs="Calibri"/>
          <w:b w:val="false"/>
          <w:i w:val="false"/>
          <w:color w:val="000000"/>
          <w:kern w:val="2"/>
          <w:sz w:val="22"/>
          <w:szCs w:val="22"/>
          <w:lang w:val="el-GR"/>
        </w:rPr>
        <w:t>2</w:t>
      </w:r>
    </w:p>
    <w:p>
      <w:pPr>
        <w:pStyle w:val="Normal"/>
        <w:spacing w:before="0" w:after="0"/>
        <w:jc w:val="both"/>
        <w:rPr>
          <w:sz w:val="22"/>
          <w:szCs w:val="22"/>
        </w:rPr>
      </w:pPr>
      <w:r>
        <w:rPr>
          <w:rFonts w:cs="Calibri"/>
          <w:b w:val="false"/>
          <w:i w:val="false"/>
          <w:color w:val="000000"/>
          <w:kern w:val="2"/>
          <w:sz w:val="22"/>
          <w:szCs w:val="22"/>
          <w:lang w:val="el-GR"/>
        </w:rPr>
        <w:t>8</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8 </w:t>
      </w:r>
      <w:r>
        <w:rPr>
          <w:rFonts w:cs="Calibri"/>
          <w:b w:val="false"/>
          <w:i w:val="false"/>
          <w:color w:val="000000"/>
          <w:kern w:val="2"/>
          <w:sz w:val="22"/>
          <w:szCs w:val="22"/>
        </w:rPr>
        <w:t>την τιμή αντιδραστηρίου</w:t>
      </w:r>
      <w:r>
        <w:rPr>
          <w:rFonts w:cs="Calibri"/>
          <w:b w:val="false"/>
          <w:i w:val="false"/>
          <w:color w:val="000000"/>
          <w:kern w:val="2"/>
          <w:sz w:val="22"/>
          <w:szCs w:val="22"/>
          <w:lang w:val="el-GR"/>
        </w:rPr>
        <w:t xml:space="preserve"> για το σύνολο των εξετάσεων</w:t>
      </w:r>
      <w:r>
        <w:rPr>
          <w:rFonts w:cs="Calibri"/>
          <w:b w:val="false"/>
          <w:i w:val="false"/>
          <w:color w:val="000000"/>
          <w:kern w:val="2"/>
          <w:sz w:val="22"/>
          <w:szCs w:val="22"/>
        </w:rPr>
        <w:t xml:space="preserve"> η οποία καθορίζεται ως εξής: </w:t>
      </w:r>
      <w:r>
        <w:rPr>
          <w:rFonts w:cs="Calibri"/>
          <w:b w:val="false"/>
          <w:i w:val="false"/>
          <w:color w:val="000000"/>
          <w:kern w:val="2"/>
          <w:sz w:val="22"/>
          <w:szCs w:val="22"/>
          <w:lang w:val="el-GR"/>
        </w:rPr>
        <w:t>(</w:t>
      </w:r>
      <w:r>
        <w:rPr>
          <w:rFonts w:cs="Calibri"/>
          <w:b w:val="false"/>
          <w:i w:val="false"/>
          <w:color w:val="000000"/>
          <w:kern w:val="2"/>
          <w:sz w:val="22"/>
          <w:szCs w:val="22"/>
        </w:rPr>
        <w:t>στήλη</w:t>
      </w:r>
      <w:r>
        <w:rPr>
          <w:rFonts w:cs="Calibri"/>
          <w:b w:val="false"/>
          <w:i w:val="false"/>
          <w:color w:val="000000"/>
          <w:kern w:val="2"/>
          <w:sz w:val="22"/>
          <w:szCs w:val="22"/>
          <w:lang w:val="el-GR"/>
        </w:rPr>
        <w:t xml:space="preserve"> 6 </w:t>
      </w:r>
      <w:r>
        <w:rPr>
          <w:rFonts w:cs="Calibri"/>
          <w:b w:val="false"/>
          <w:i w:val="false"/>
          <w:color w:val="000000"/>
          <w:kern w:val="2"/>
          <w:sz w:val="22"/>
          <w:szCs w:val="22"/>
        </w:rPr>
        <w:t xml:space="preserve">χ στήλη </w:t>
      </w:r>
      <w:r>
        <w:rPr>
          <w:rFonts w:cs="Calibri"/>
          <w:b w:val="false"/>
          <w:i w:val="false"/>
          <w:color w:val="000000"/>
          <w:kern w:val="2"/>
          <w:sz w:val="22"/>
          <w:szCs w:val="22"/>
          <w:lang w:val="el-GR"/>
        </w:rPr>
        <w:t>7)</w:t>
      </w:r>
      <w:r>
        <w:rPr>
          <w:rFonts w:cs="Calibri"/>
          <w:b w:val="false"/>
          <w:i w:val="false"/>
          <w:color w:val="000000"/>
          <w:kern w:val="2"/>
          <w:sz w:val="22"/>
          <w:szCs w:val="22"/>
        </w:rPr>
        <w:t xml:space="preserve"> </w:t>
      </w:r>
    </w:p>
    <w:p>
      <w:pPr>
        <w:pStyle w:val="Normal"/>
        <w:spacing w:before="0" w:after="0"/>
        <w:jc w:val="both"/>
        <w:rPr>
          <w:sz w:val="22"/>
          <w:szCs w:val="22"/>
        </w:rPr>
      </w:pPr>
      <w:r>
        <w:rPr>
          <w:rFonts w:cs="Calibri"/>
          <w:b w:val="false"/>
          <w:i w:val="false"/>
          <w:color w:val="000000"/>
          <w:kern w:val="2"/>
          <w:sz w:val="22"/>
          <w:szCs w:val="22"/>
          <w:lang w:val="el-GR"/>
        </w:rPr>
        <w:t>9</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9 το ποσοστό ΦΠΑ για το κάθε αντιδραστήριο.</w:t>
      </w:r>
    </w:p>
    <w:p>
      <w:pPr>
        <w:pStyle w:val="Normal"/>
        <w:spacing w:before="0" w:after="0"/>
        <w:jc w:val="both"/>
        <w:rPr>
          <w:sz w:val="22"/>
          <w:szCs w:val="22"/>
        </w:rPr>
      </w:pPr>
      <w:r>
        <w:rPr>
          <w:rFonts w:cs="Calibri"/>
          <w:b w:val="false"/>
          <w:i w:val="false"/>
          <w:color w:val="000000"/>
          <w:kern w:val="2"/>
          <w:sz w:val="22"/>
          <w:szCs w:val="22"/>
          <w:lang w:val="el-GR"/>
        </w:rPr>
        <w:t>10. Συμπληρώνετε στην στήλη 10 το ποσό</w:t>
      </w:r>
      <w:r>
        <w:rPr>
          <w:rFonts w:cs="Calibri"/>
          <w:b w:val="false"/>
          <w:bCs w:val="false"/>
          <w:i w:val="false"/>
          <w:color w:val="000000"/>
          <w:kern w:val="2"/>
          <w:sz w:val="22"/>
          <w:szCs w:val="22"/>
          <w:lang w:val="el-GR"/>
        </w:rPr>
        <w:t xml:space="preserve"> για το </w:t>
      </w:r>
      <w:r>
        <w:rPr>
          <w:rFonts w:cs="Calibri"/>
          <w:b w:val="false"/>
          <w:bCs/>
          <w:i w:val="false"/>
          <w:color w:val="000000"/>
          <w:kern w:val="2"/>
          <w:sz w:val="22"/>
          <w:szCs w:val="22"/>
          <w:lang w:val="el-GR"/>
        </w:rPr>
        <w:t xml:space="preserve">σύνολο των εξετάσεων </w:t>
      </w:r>
      <w:r>
        <w:rPr>
          <w:rFonts w:cs="Calibri"/>
          <w:b w:val="false"/>
          <w:bCs w:val="false"/>
          <w:i w:val="false"/>
          <w:color w:val="000000"/>
          <w:kern w:val="2"/>
          <w:sz w:val="22"/>
          <w:szCs w:val="22"/>
          <w:lang w:val="el-GR"/>
        </w:rPr>
        <w:t>ΦΠΑ (στήλη 8* στήλη 9)</w:t>
      </w:r>
    </w:p>
    <w:p>
      <w:pPr>
        <w:pStyle w:val="Normal"/>
        <w:spacing w:before="0" w:after="0"/>
        <w:jc w:val="both"/>
        <w:rPr>
          <w:sz w:val="22"/>
          <w:szCs w:val="22"/>
        </w:rPr>
      </w:pPr>
      <w:r>
        <w:rPr>
          <w:rFonts w:cs="Calibri"/>
          <w:b w:val="false"/>
          <w:i w:val="false"/>
          <w:color w:val="000000"/>
          <w:kern w:val="2"/>
          <w:sz w:val="22"/>
          <w:szCs w:val="22"/>
          <w:lang w:val="el-GR"/>
        </w:rPr>
        <w:t>11</w:t>
      </w:r>
      <w:r>
        <w:rPr>
          <w:rFonts w:cs="Calibri"/>
          <w:b w:val="false"/>
          <w:i w:val="false"/>
          <w:color w:val="000000"/>
          <w:kern w:val="2"/>
          <w:sz w:val="22"/>
          <w:szCs w:val="22"/>
        </w:rPr>
        <w:t>. Συμπληρώνετε στην στήλη</w:t>
      </w:r>
      <w:r>
        <w:rPr>
          <w:rFonts w:cs="Calibri"/>
          <w:b w:val="false"/>
          <w:i w:val="false"/>
          <w:color w:val="000000"/>
          <w:kern w:val="2"/>
          <w:sz w:val="22"/>
          <w:szCs w:val="22"/>
          <w:lang w:val="el-GR"/>
        </w:rPr>
        <w:t xml:space="preserve"> 11 </w:t>
      </w:r>
      <w:r>
        <w:rPr>
          <w:rFonts w:cs="Calibri"/>
          <w:b w:val="false"/>
          <w:i w:val="false"/>
          <w:color w:val="000000"/>
          <w:kern w:val="2"/>
          <w:sz w:val="22"/>
          <w:szCs w:val="22"/>
        </w:rPr>
        <w:t xml:space="preserve">τη συνολική τιμή </w:t>
      </w:r>
      <w:r>
        <w:rPr>
          <w:rFonts w:cs="Calibri"/>
          <w:b w:val="false"/>
          <w:bCs w:val="false"/>
          <w:i w:val="false"/>
          <w:color w:val="000000"/>
          <w:kern w:val="2"/>
          <w:sz w:val="22"/>
          <w:szCs w:val="22"/>
          <w:lang w:val="el-GR"/>
        </w:rPr>
        <w:t>με ΦΠΑ (στήλη 8+ στήλη 10)</w:t>
      </w:r>
    </w:p>
    <w:p>
      <w:pPr>
        <w:pStyle w:val="Normal"/>
        <w:spacing w:before="0" w:after="0"/>
        <w:jc w:val="both"/>
        <w:rPr>
          <w:sz w:val="22"/>
          <w:szCs w:val="22"/>
        </w:rPr>
      </w:pPr>
      <w:r>
        <w:rPr>
          <w:rFonts w:cs="Calibri"/>
          <w:sz w:val="22"/>
          <w:szCs w:val="22"/>
          <w:lang w:val="el-GR"/>
        </w:rPr>
        <w:t>Για</w:t>
      </w:r>
      <w:r>
        <w:rPr>
          <w:rFonts w:cs="Calibri"/>
          <w:sz w:val="22"/>
          <w:szCs w:val="22"/>
        </w:rPr>
        <w:t xml:space="preserve"> τα λοιπά απαραίτητα αναλώσιμα υλικά </w:t>
      </w:r>
      <w:r>
        <w:rPr>
          <w:rFonts w:cs="Calibri"/>
          <w:sz w:val="22"/>
          <w:szCs w:val="22"/>
          <w:lang w:val="el-GR"/>
        </w:rPr>
        <w:t>(</w:t>
      </w:r>
      <w:r>
        <w:rPr>
          <w:rFonts w:cs="Calibri"/>
          <w:sz w:val="22"/>
          <w:szCs w:val="22"/>
        </w:rPr>
        <w:t>υγρά πλύσης και καθαρισμού,</w:t>
      </w:r>
      <w:r>
        <w:rPr>
          <w:rFonts w:cs="Calibri"/>
          <w:sz w:val="22"/>
          <w:szCs w:val="22"/>
          <w:lang w:val="el-GR"/>
        </w:rPr>
        <w:t xml:space="preserve"> υλικά </w:t>
      </w:r>
      <w:r>
        <w:rPr>
          <w:rFonts w:cs="Calibri"/>
          <w:sz w:val="22"/>
          <w:szCs w:val="22"/>
        </w:rPr>
        <w:t>ελέγχου και βαθμονόμησης</w:t>
      </w:r>
      <w:r>
        <w:rPr>
          <w:rFonts w:cs="Calibri"/>
          <w:sz w:val="22"/>
          <w:szCs w:val="22"/>
          <w:lang w:val="el-GR"/>
        </w:rPr>
        <w:t>)</w:t>
      </w:r>
      <w:r>
        <w:rPr>
          <w:rFonts w:cs="Calibri"/>
          <w:sz w:val="22"/>
          <w:szCs w:val="22"/>
        </w:rPr>
        <w:t xml:space="preserve"> θα προσφερθούν σύμφωνα με τον πίνακα 2 του παρόντος. </w:t>
      </w:r>
    </w:p>
    <w:p>
      <w:pPr>
        <w:pStyle w:val="Normal"/>
        <w:spacing w:before="0" w:after="0"/>
        <w:rPr>
          <w:rFonts w:cs="Calibri"/>
        </w:rPr>
      </w:pPr>
      <w:r>
        <w:rPr>
          <w:rFonts w:cs="Calibri"/>
        </w:rPr>
      </w:r>
    </w:p>
    <w:p>
      <w:pPr>
        <w:pStyle w:val="Normal"/>
        <w:spacing w:before="0" w:after="0"/>
        <w:rPr>
          <w:rFonts w:cs="Calibri"/>
        </w:rPr>
      </w:pPr>
      <w:r>
        <w:rPr>
          <w:rFonts w:cs="Calibri"/>
        </w:rPr>
      </w:r>
    </w:p>
    <w:p>
      <w:pPr>
        <w:pStyle w:val="Normal"/>
        <w:rPr>
          <w:rFonts w:ascii="Calibri" w:hAnsi="Calibri"/>
          <w:sz w:val="24"/>
          <w:szCs w:val="24"/>
        </w:rPr>
      </w:pPr>
      <w:r>
        <w:rPr>
          <w:rFonts w:cs="Calibri-Bold"/>
          <w:b/>
          <w:bCs/>
          <w:sz w:val="24"/>
          <w:szCs w:val="24"/>
          <w:u w:val="single"/>
        </w:rPr>
        <w:t xml:space="preserve">Πίνακας </w:t>
      </w:r>
      <w:r>
        <w:rPr>
          <w:rFonts w:cs="Calibri-Bold"/>
          <w:b/>
          <w:bCs/>
          <w:sz w:val="24"/>
          <w:szCs w:val="24"/>
          <w:u w:val="single"/>
          <w:lang w:val="el-GR"/>
        </w:rPr>
        <w:t>1.</w:t>
      </w:r>
      <w:r>
        <w:rPr>
          <w:rFonts w:cs="Calibri-Bold"/>
          <w:b/>
          <w:bCs/>
          <w:sz w:val="24"/>
          <w:szCs w:val="24"/>
          <w:u w:val="single"/>
        </w:rPr>
        <w:t>2 (Λοιπά αναλώσιµα υλικά)</w:t>
      </w:r>
      <w:r>
        <w:rPr>
          <w:rFonts w:cs="Calibri-Bold"/>
          <w:b/>
          <w:bCs/>
          <w:sz w:val="24"/>
          <w:szCs w:val="24"/>
        </w:rPr>
        <w:t xml:space="preserve"> </w:t>
      </w:r>
    </w:p>
    <w:p>
      <w:pPr>
        <w:pStyle w:val="Normal"/>
        <w:rPr>
          <w:rFonts w:cs="Calibri-Bold"/>
          <w:b/>
          <w:b/>
          <w:bCs/>
        </w:rPr>
      </w:pPr>
      <w:r>
        <w:rPr>
          <w:rFonts w:cs="Calibri-Bold"/>
          <w:b/>
          <w:bCs/>
        </w:rPr>
      </w:r>
    </w:p>
    <w:tbl>
      <w:tblPr>
        <w:tblW w:w="9214" w:type="dxa"/>
        <w:jc w:val="center"/>
        <w:tblInd w:w="0" w:type="dxa"/>
        <w:tblLayout w:type="fixed"/>
        <w:tblCellMar>
          <w:top w:w="50" w:type="dxa"/>
          <w:left w:w="50" w:type="dxa"/>
          <w:bottom w:w="50" w:type="dxa"/>
          <w:right w:w="50" w:type="dxa"/>
        </w:tblCellMar>
      </w:tblPr>
      <w:tblGrid>
        <w:gridCol w:w="445"/>
        <w:gridCol w:w="630"/>
        <w:gridCol w:w="733"/>
        <w:gridCol w:w="716"/>
        <w:gridCol w:w="828"/>
        <w:gridCol w:w="985"/>
        <w:gridCol w:w="1184"/>
        <w:gridCol w:w="940"/>
        <w:gridCol w:w="828"/>
        <w:gridCol w:w="829"/>
        <w:gridCol w:w="1094"/>
      </w:tblGrid>
      <w:tr>
        <w:trPr/>
        <w:tc>
          <w:tcPr>
            <w:tcW w:w="445" w:type="dxa"/>
            <w:tcBorders>
              <w:top w:val="single" w:sz="4" w:space="0" w:color="000000"/>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r>
          </w:p>
        </w:tc>
        <w:tc>
          <w:tcPr>
            <w:tcW w:w="630"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1</w:t>
            </w:r>
          </w:p>
        </w:tc>
        <w:tc>
          <w:tcPr>
            <w:tcW w:w="733"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2</w:t>
            </w:r>
          </w:p>
        </w:tc>
        <w:tc>
          <w:tcPr>
            <w:tcW w:w="716"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3</w:t>
            </w:r>
          </w:p>
        </w:tc>
        <w:tc>
          <w:tcPr>
            <w:tcW w:w="828"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4</w:t>
            </w:r>
          </w:p>
        </w:tc>
        <w:tc>
          <w:tcPr>
            <w:tcW w:w="985"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5</w:t>
            </w:r>
          </w:p>
        </w:tc>
        <w:tc>
          <w:tcPr>
            <w:tcW w:w="1184"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6</w:t>
            </w:r>
          </w:p>
        </w:tc>
        <w:tc>
          <w:tcPr>
            <w:tcW w:w="940"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7=5*6</w:t>
            </w:r>
          </w:p>
        </w:tc>
        <w:tc>
          <w:tcPr>
            <w:tcW w:w="828"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8</w:t>
            </w:r>
          </w:p>
        </w:tc>
        <w:tc>
          <w:tcPr>
            <w:tcW w:w="829"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9=7*8</w:t>
            </w:r>
          </w:p>
        </w:tc>
        <w:tc>
          <w:tcPr>
            <w:tcW w:w="10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10=7+9</w:t>
            </w:r>
          </w:p>
        </w:tc>
      </w:tr>
      <w:tr>
        <w:trPr/>
        <w:tc>
          <w:tcPr>
            <w:tcW w:w="445"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lang w:val="el-GR"/>
              </w:rPr>
              <w:t>α/α</w:t>
            </w:r>
          </w:p>
        </w:tc>
        <w:tc>
          <w:tcPr>
            <w:tcW w:w="630"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Όνομα</w:t>
            </w:r>
          </w:p>
          <w:p>
            <w:pPr>
              <w:pStyle w:val="Normal"/>
              <w:widowControl w:val="false"/>
              <w:spacing w:before="0" w:after="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εξέτασης</w:t>
            </w:r>
          </w:p>
        </w:tc>
        <w:tc>
          <w:tcPr>
            <w:tcW w:w="733" w:type="dxa"/>
            <w:tcBorders>
              <w:left w:val="single" w:sz="4" w:space="0" w:color="000000"/>
              <w:bottom w:val="single" w:sz="4" w:space="0" w:color="000000"/>
            </w:tcBorders>
          </w:tcPr>
          <w:p>
            <w:pPr>
              <w:pStyle w:val="Normal"/>
              <w:widowControl w:val="false"/>
              <w:spacing w:before="0" w:after="0"/>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Αριθμός</w:t>
            </w:r>
          </w:p>
          <w:p>
            <w:pPr>
              <w:pStyle w:val="Normal"/>
              <w:widowControl w:val="false"/>
              <w:spacing w:before="0" w:after="0"/>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εξετάσεων</w:t>
            </w:r>
          </w:p>
          <w:p>
            <w:pPr>
              <w:pStyle w:val="Normal"/>
              <w:widowControl w:val="false"/>
              <w:spacing w:before="0" w:after="0"/>
              <w:jc w:val="center"/>
              <w:rPr>
                <w:rFonts w:cs="Calibri"/>
                <w:b w:val="false"/>
                <w:b w:val="false"/>
                <w:i w:val="false"/>
                <w:i w:val="false"/>
                <w:color w:val="000000"/>
                <w:kern w:val="2"/>
                <w:sz w:val="14"/>
                <w:szCs w:val="14"/>
                <w:highlight w:val="none"/>
                <w:shd w:fill="auto" w:val="clear"/>
              </w:rPr>
            </w:pPr>
            <w:r>
              <w:rPr>
                <w:rFonts w:cs="Calibri"/>
                <w:b w:val="false"/>
                <w:i w:val="false"/>
                <w:color w:val="000000"/>
                <w:kern w:val="2"/>
                <w:sz w:val="14"/>
                <w:szCs w:val="14"/>
                <w:shd w:fill="auto" w:val="clear"/>
              </w:rPr>
              <w:t>ετησίως</w:t>
            </w:r>
          </w:p>
        </w:tc>
        <w:tc>
          <w:tcPr>
            <w:tcW w:w="716"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Είδος Αναλωσίμου κωδικός</w:t>
            </w:r>
          </w:p>
        </w:tc>
        <w:tc>
          <w:tcPr>
            <w:tcW w:w="828"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Είδος Αναλωσίμου περιγραφή</w:t>
            </w:r>
          </w:p>
        </w:tc>
        <w:tc>
          <w:tcPr>
            <w:tcW w:w="985" w:type="dxa"/>
            <w:tcBorders>
              <w:left w:val="single" w:sz="4" w:space="0" w:color="000000"/>
              <w:bottom w:val="single" w:sz="4" w:space="0" w:color="000000"/>
            </w:tcBorders>
          </w:tcPr>
          <w:p>
            <w:pPr>
              <w:pStyle w:val="Normal"/>
              <w:widowControl w:val="false"/>
              <w:spacing w:before="0" w:after="0"/>
              <w:jc w:val="center"/>
              <w:rPr/>
            </w:pPr>
            <w:r>
              <w:rPr>
                <w:rFonts w:cs="Calibri"/>
                <w:b w:val="false"/>
                <w:i w:val="false"/>
                <w:color w:val="000000"/>
                <w:kern w:val="2"/>
                <w:sz w:val="14"/>
                <w:szCs w:val="14"/>
              </w:rPr>
              <w:t>Απαιτούμε</w:t>
            </w:r>
            <w:r>
              <w:rPr>
                <w:rFonts w:cs="Calibri"/>
                <w:b w:val="false"/>
                <w:i w:val="false"/>
                <w:color w:val="000000"/>
                <w:kern w:val="2"/>
                <w:sz w:val="14"/>
                <w:szCs w:val="14"/>
                <w:lang w:val="el-GR"/>
              </w:rPr>
              <w:t>να είδη</w:t>
            </w:r>
          </w:p>
          <w:p>
            <w:pPr>
              <w:pStyle w:val="Normal"/>
              <w:widowControl w:val="false"/>
              <w:spacing w:before="0" w:after="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συσκευασίες /</w:t>
            </w:r>
          </w:p>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έτος  του αναλωσίμου για τον αριθμό των εξετάσεων</w:t>
            </w:r>
          </w:p>
        </w:tc>
        <w:tc>
          <w:tcPr>
            <w:tcW w:w="1184" w:type="dxa"/>
            <w:tcBorders>
              <w:left w:val="single" w:sz="4" w:space="0" w:color="000000"/>
              <w:bottom w:val="single" w:sz="4" w:space="0" w:color="000000"/>
            </w:tcBorders>
          </w:tcPr>
          <w:p>
            <w:pPr>
              <w:pStyle w:val="Normal"/>
              <w:widowControl w:val="false"/>
              <w:spacing w:before="0" w:after="0"/>
              <w:jc w:val="center"/>
              <w:rPr/>
            </w:pPr>
            <w:r>
              <w:rPr>
                <w:rFonts w:cs="Calibri"/>
                <w:b w:val="false"/>
                <w:i w:val="false"/>
                <w:color w:val="000000"/>
                <w:kern w:val="2"/>
                <w:sz w:val="14"/>
                <w:szCs w:val="14"/>
              </w:rPr>
              <w:t xml:space="preserve">Τιμή </w:t>
            </w:r>
            <w:r>
              <w:rPr>
                <w:rFonts w:cs="Calibri"/>
                <w:b w:val="false"/>
                <w:i w:val="false"/>
                <w:color w:val="000000"/>
                <w:kern w:val="2"/>
                <w:sz w:val="14"/>
                <w:szCs w:val="14"/>
                <w:lang w:val="el-GR"/>
              </w:rPr>
              <w:t>είδους  ή  τιμή</w:t>
            </w:r>
          </w:p>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συσκευασίας  του αναλωσίμου</w:t>
            </w:r>
          </w:p>
        </w:tc>
        <w:tc>
          <w:tcPr>
            <w:tcW w:w="940"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Τιμή € χωρίς ΦΠΑ για τις απαιτούμενες εξετάσεις (ΛΟΙΠΑ ΑΝΑΛΩΣΙΜΑ)</w:t>
            </w:r>
          </w:p>
        </w:tc>
        <w:tc>
          <w:tcPr>
            <w:tcW w:w="828"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Ποσοστό % ΦΠΑ</w:t>
            </w:r>
          </w:p>
        </w:tc>
        <w:tc>
          <w:tcPr>
            <w:tcW w:w="829"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Ποσό ΦΠΑ σε €</w:t>
            </w:r>
          </w:p>
        </w:tc>
        <w:tc>
          <w:tcPr>
            <w:tcW w:w="1094" w:type="dxa"/>
            <w:tcBorders>
              <w:left w:val="single" w:sz="4" w:space="0" w:color="000000"/>
              <w:bottom w:val="single" w:sz="4" w:space="0" w:color="000000"/>
              <w:right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Συνολική τιμή €  με ΦΠΑ για τις απαιτούμενες εξετάσεις</w:t>
            </w:r>
          </w:p>
        </w:tc>
      </w:tr>
      <w:tr>
        <w:trPr/>
        <w:tc>
          <w:tcPr>
            <w:tcW w:w="445"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1</w:t>
            </w:r>
          </w:p>
        </w:tc>
        <w:tc>
          <w:tcPr>
            <w:tcW w:w="630"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73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16"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8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184"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4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9"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094"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445"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2</w:t>
            </w:r>
          </w:p>
        </w:tc>
        <w:tc>
          <w:tcPr>
            <w:tcW w:w="630"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73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716"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8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184"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940"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829"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c>
          <w:tcPr>
            <w:tcW w:w="1094"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22"/>
                <w:lang w:val="el-GR"/>
              </w:rPr>
            </w:pPr>
            <w:r>
              <w:rPr>
                <w:rFonts w:cs="Calibri"/>
                <w:b w:val="false"/>
                <w:i w:val="false"/>
                <w:color w:val="000000"/>
                <w:kern w:val="2"/>
                <w:sz w:val="22"/>
                <w:lang w:val="el-GR"/>
              </w:rPr>
            </w:r>
          </w:p>
        </w:tc>
      </w:tr>
      <w:tr>
        <w:trPr/>
        <w:tc>
          <w:tcPr>
            <w:tcW w:w="445" w:type="dxa"/>
            <w:tcBorders>
              <w:left w:val="single" w:sz="4" w:space="0" w:color="000000"/>
              <w:bottom w:val="single" w:sz="4" w:space="0" w:color="000000"/>
            </w:tcBorders>
          </w:tcPr>
          <w:p>
            <w:pPr>
              <w:pStyle w:val="Normal"/>
              <w:widowControl w:val="false"/>
              <w:spacing w:before="0" w:after="120"/>
              <w:jc w:val="center"/>
              <w:rPr/>
            </w:pPr>
            <w:r>
              <w:rPr>
                <w:rFonts w:cs="Calibri"/>
                <w:b w:val="false"/>
                <w:i w:val="false"/>
                <w:color w:val="000000"/>
                <w:kern w:val="2"/>
                <w:sz w:val="16"/>
                <w:szCs w:val="16"/>
                <w:lang w:val="el-GR"/>
              </w:rPr>
              <w:t>……</w:t>
            </w:r>
            <w:r>
              <w:rPr>
                <w:rFonts w:cs="Calibri"/>
                <w:b w:val="false"/>
                <w:i w:val="false"/>
                <w:color w:val="000000"/>
                <w:kern w:val="2"/>
                <w:sz w:val="16"/>
                <w:szCs w:val="16"/>
                <w:lang w:val="el-GR"/>
              </w:rPr>
              <w:t>..</w:t>
            </w:r>
          </w:p>
        </w:tc>
        <w:tc>
          <w:tcPr>
            <w:tcW w:w="630"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733"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716"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985"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184"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940"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828"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829" w:type="dxa"/>
            <w:tcBorders>
              <w:left w:val="single" w:sz="4" w:space="0" w:color="000000"/>
              <w:bottom w:val="single" w:sz="4" w:space="0" w:color="000000"/>
            </w:tcBorders>
          </w:tcPr>
          <w:p>
            <w:pPr>
              <w:pStyle w:val="Normal"/>
              <w:widowControl w:val="false"/>
              <w:snapToGrid w:val="false"/>
              <w:spacing w:before="0" w:after="120"/>
              <w:jc w:val="center"/>
              <w:rPr>
                <w:lang w:val="el-GR"/>
              </w:rPr>
            </w:pPr>
            <w:r>
              <w:rPr>
                <w:lang w:val="el-GR"/>
              </w:rPr>
            </w:r>
          </w:p>
        </w:tc>
        <w:tc>
          <w:tcPr>
            <w:tcW w:w="1094"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lang w:val="el-GR"/>
              </w:rPr>
            </w:pPr>
            <w:r>
              <w:rPr>
                <w:lang w:val="el-GR"/>
              </w:rPr>
            </w:r>
          </w:p>
        </w:tc>
      </w:tr>
      <w:tr>
        <w:trPr/>
        <w:tc>
          <w:tcPr>
            <w:tcW w:w="5521" w:type="dxa"/>
            <w:gridSpan w:val="7"/>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Συνολικό Κόστος Λοιπών Αναλωσίμων Τμήματος</w:t>
            </w:r>
          </w:p>
        </w:tc>
        <w:tc>
          <w:tcPr>
            <w:tcW w:w="940" w:type="dxa"/>
            <w:tcBorders>
              <w:left w:val="single" w:sz="4" w:space="0" w:color="000000"/>
              <w:bottom w:val="single" w:sz="4" w:space="0" w:color="000000"/>
            </w:tcBorders>
          </w:tcPr>
          <w:p>
            <w:pPr>
              <w:pStyle w:val="Normal"/>
              <w:widowControl w:val="false"/>
              <w:snapToGrid w:val="false"/>
              <w:spacing w:before="0" w:after="120"/>
              <w:jc w:val="center"/>
              <w:rPr/>
            </w:pPr>
            <w:r>
              <w:rPr/>
            </w:r>
          </w:p>
        </w:tc>
        <w:tc>
          <w:tcPr>
            <w:tcW w:w="2751" w:type="dxa"/>
            <w:gridSpan w:val="3"/>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pPr>
            <w:r>
              <w:rPr/>
            </w:r>
          </w:p>
        </w:tc>
      </w:tr>
    </w:tbl>
    <w:p>
      <w:pPr>
        <w:pStyle w:val="Normal"/>
        <w:spacing w:before="0" w:after="6"/>
        <w:rPr>
          <w:b w:val="false"/>
          <w:b w:val="false"/>
          <w:i w:val="false"/>
          <w:i w:val="false"/>
          <w:color w:val="000000"/>
          <w:kern w:val="2"/>
          <w:sz w:val="16"/>
          <w:szCs w:val="16"/>
          <w:lang w:val="el-GR"/>
        </w:rPr>
      </w:pPr>
      <w:r>
        <w:rPr>
          <w:b w:val="false"/>
          <w:i w:val="false"/>
          <w:color w:val="000000"/>
          <w:kern w:val="2"/>
          <w:sz w:val="16"/>
          <w:szCs w:val="16"/>
          <w:lang w:val="el-GR"/>
        </w:rPr>
      </w:r>
    </w:p>
    <w:p>
      <w:pPr>
        <w:pStyle w:val="Normal"/>
        <w:spacing w:before="0" w:after="6"/>
        <w:rPr>
          <w:b w:val="false"/>
          <w:b w:val="false"/>
          <w:i w:val="false"/>
          <w:i w:val="false"/>
          <w:color w:val="000000"/>
          <w:kern w:val="2"/>
          <w:sz w:val="16"/>
          <w:szCs w:val="16"/>
          <w:lang w:val="el-GR"/>
        </w:rPr>
      </w:pPr>
      <w:r>
        <w:rPr>
          <w:b w:val="false"/>
          <w:i w:val="false"/>
          <w:color w:val="000000"/>
          <w:kern w:val="2"/>
          <w:sz w:val="16"/>
          <w:szCs w:val="16"/>
          <w:lang w:val="el-GR"/>
        </w:rPr>
      </w:r>
    </w:p>
    <w:p>
      <w:pPr>
        <w:pStyle w:val="Normal"/>
        <w:spacing w:before="0" w:after="6"/>
        <w:rPr>
          <w:b w:val="false"/>
          <w:b w:val="false"/>
          <w:i w:val="false"/>
          <w:i w:val="false"/>
          <w:color w:val="000000"/>
          <w:kern w:val="2"/>
          <w:sz w:val="16"/>
          <w:szCs w:val="16"/>
          <w:lang w:val="el-GR"/>
        </w:rPr>
      </w:pPr>
      <w:r>
        <w:rPr>
          <w:b w:val="false"/>
          <w:i w:val="false"/>
          <w:color w:val="000000"/>
          <w:kern w:val="2"/>
          <w:sz w:val="16"/>
          <w:szCs w:val="16"/>
          <w:lang w:val="el-GR"/>
        </w:rPr>
      </w:r>
    </w:p>
    <w:p>
      <w:pPr>
        <w:pStyle w:val="Normal"/>
        <w:spacing w:before="0" w:after="6"/>
        <w:rPr>
          <w:sz w:val="24"/>
          <w:szCs w:val="24"/>
        </w:rPr>
      </w:pPr>
      <w:r>
        <w:rPr>
          <w:b w:val="false"/>
          <w:i w:val="false"/>
          <w:color w:val="000000"/>
          <w:kern w:val="2"/>
          <w:sz w:val="24"/>
          <w:szCs w:val="24"/>
          <w:lang w:val="el-GR"/>
        </w:rPr>
        <w:t>1</w:t>
      </w:r>
      <w:r>
        <w:rPr>
          <w:b w:val="false"/>
          <w:i w:val="false"/>
          <w:color w:val="000000"/>
          <w:kern w:val="2"/>
          <w:sz w:val="22"/>
          <w:szCs w:val="22"/>
        </w:rPr>
        <w:t>. Συμπληρώνετε στην στήλη 1 του πίνακα ανάλυσης κόστους το όνομα της εξέτασης έτσι όπως αναφέρεται στην στήλη 1 του παραρτήματος 1.</w:t>
      </w:r>
    </w:p>
    <w:p>
      <w:pPr>
        <w:pStyle w:val="Normal"/>
        <w:spacing w:before="0" w:after="6"/>
        <w:rPr>
          <w:sz w:val="22"/>
          <w:szCs w:val="22"/>
        </w:rPr>
      </w:pPr>
      <w:r>
        <w:rPr>
          <w:b w:val="false"/>
          <w:i w:val="false"/>
          <w:color w:val="000000"/>
          <w:kern w:val="2"/>
          <w:sz w:val="22"/>
          <w:szCs w:val="22"/>
          <w:lang w:val="el-GR"/>
        </w:rPr>
        <w:t>2</w:t>
      </w:r>
      <w:r>
        <w:rPr>
          <w:b w:val="false"/>
          <w:i w:val="false"/>
          <w:color w:val="000000"/>
          <w:kern w:val="2"/>
          <w:sz w:val="22"/>
          <w:szCs w:val="22"/>
        </w:rPr>
        <w:t>. Συμπληρώνετε στην στήλη 2 του πίνακα τον ετήσιο αριθμό της εξέτασης έτσι όπως αναφέρεται στην στήλη</w:t>
      </w:r>
      <w:r>
        <w:rPr>
          <w:b w:val="false"/>
          <w:i w:val="false"/>
          <w:color w:val="000000"/>
          <w:kern w:val="2"/>
          <w:sz w:val="22"/>
          <w:szCs w:val="22"/>
          <w:lang w:val="el-GR"/>
        </w:rPr>
        <w:t xml:space="preserve"> 2 </w:t>
      </w:r>
      <w:r>
        <w:rPr>
          <w:b w:val="false"/>
          <w:i w:val="false"/>
          <w:color w:val="000000"/>
          <w:kern w:val="2"/>
          <w:sz w:val="22"/>
          <w:szCs w:val="22"/>
        </w:rPr>
        <w:t>του παραρτήματος 1</w:t>
      </w:r>
    </w:p>
    <w:p>
      <w:pPr>
        <w:pStyle w:val="Normal"/>
        <w:spacing w:before="0" w:after="6"/>
        <w:rPr>
          <w:sz w:val="22"/>
          <w:szCs w:val="22"/>
        </w:rPr>
      </w:pPr>
      <w:r>
        <w:rPr>
          <w:b w:val="false"/>
          <w:i w:val="false"/>
          <w:color w:val="000000"/>
          <w:kern w:val="2"/>
          <w:sz w:val="22"/>
          <w:szCs w:val="22"/>
          <w:lang w:val="el-GR"/>
        </w:rPr>
        <w:t>3</w:t>
      </w:r>
      <w:r>
        <w:rPr>
          <w:b w:val="false"/>
          <w:i w:val="false"/>
          <w:color w:val="000000"/>
          <w:kern w:val="2"/>
          <w:sz w:val="22"/>
          <w:szCs w:val="22"/>
        </w:rPr>
        <w:t>. Συμπληρώνετε στην στήλη 3 του πίνακα τ</w:t>
      </w:r>
      <w:r>
        <w:rPr>
          <w:b w:val="false"/>
          <w:i w:val="false"/>
          <w:color w:val="000000"/>
          <w:kern w:val="2"/>
          <w:sz w:val="22"/>
          <w:szCs w:val="22"/>
          <w:lang w:val="el-GR"/>
        </w:rPr>
        <w:t>ον κωδικό του αναλώσιμου</w:t>
      </w:r>
      <w:r>
        <w:rPr>
          <w:b w:val="false"/>
          <w:i w:val="false"/>
          <w:color w:val="000000"/>
          <w:kern w:val="2"/>
          <w:sz w:val="22"/>
          <w:szCs w:val="22"/>
        </w:rPr>
        <w:t xml:space="preserve"> για την συγκεκριμένη εξέταση.</w:t>
      </w:r>
    </w:p>
    <w:p>
      <w:pPr>
        <w:pStyle w:val="Normal"/>
        <w:spacing w:before="0" w:after="6"/>
        <w:rPr>
          <w:sz w:val="22"/>
          <w:szCs w:val="22"/>
        </w:rPr>
      </w:pPr>
      <w:r>
        <w:rPr>
          <w:b w:val="false"/>
          <w:i w:val="false"/>
          <w:color w:val="000000"/>
          <w:kern w:val="2"/>
          <w:sz w:val="22"/>
          <w:szCs w:val="22"/>
          <w:lang w:val="el-GR"/>
        </w:rPr>
        <w:t>4</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4 </w:t>
      </w:r>
      <w:r>
        <w:rPr>
          <w:b w:val="false"/>
          <w:i w:val="false"/>
          <w:color w:val="000000"/>
          <w:kern w:val="2"/>
          <w:sz w:val="22"/>
          <w:szCs w:val="22"/>
        </w:rPr>
        <w:t xml:space="preserve">του πίνακα </w:t>
      </w:r>
      <w:r>
        <w:rPr>
          <w:b w:val="false"/>
          <w:i w:val="false"/>
          <w:color w:val="000000"/>
          <w:kern w:val="2"/>
          <w:sz w:val="22"/>
          <w:szCs w:val="22"/>
          <w:lang w:val="el-GR"/>
        </w:rPr>
        <w:t>την περιγραφή του αναλώσιμου</w:t>
      </w:r>
      <w:r>
        <w:rPr>
          <w:b w:val="false"/>
          <w:i w:val="false"/>
          <w:color w:val="000000"/>
          <w:kern w:val="2"/>
          <w:sz w:val="22"/>
          <w:szCs w:val="22"/>
        </w:rPr>
        <w:t xml:space="preserve"> για την συγκεκριμένη εξέταση.</w:t>
      </w:r>
    </w:p>
    <w:p>
      <w:pPr>
        <w:pStyle w:val="Normal"/>
        <w:spacing w:before="0" w:after="6"/>
        <w:rPr>
          <w:sz w:val="22"/>
          <w:szCs w:val="22"/>
        </w:rPr>
      </w:pPr>
      <w:r>
        <w:rPr>
          <w:b w:val="false"/>
          <w:i w:val="false"/>
          <w:color w:val="000000"/>
          <w:kern w:val="2"/>
          <w:sz w:val="22"/>
          <w:szCs w:val="22"/>
          <w:lang w:val="el-GR"/>
        </w:rPr>
        <w:t>5</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5 </w:t>
      </w:r>
      <w:r>
        <w:rPr>
          <w:b w:val="false"/>
          <w:i w:val="false"/>
          <w:color w:val="000000"/>
          <w:kern w:val="2"/>
          <w:sz w:val="22"/>
          <w:szCs w:val="22"/>
        </w:rPr>
        <w:t xml:space="preserve">του πίνακα </w:t>
      </w:r>
      <w:r>
        <w:rPr>
          <w:b w:val="false"/>
          <w:i w:val="false"/>
          <w:color w:val="000000"/>
          <w:kern w:val="2"/>
          <w:sz w:val="22"/>
          <w:szCs w:val="22"/>
          <w:lang w:val="el-GR"/>
        </w:rPr>
        <w:t xml:space="preserve">τα απαιτούμενα είδη </w:t>
      </w:r>
      <w:r>
        <w:rPr>
          <w:b w:val="false"/>
          <w:i w:val="false"/>
          <w:color w:val="000000"/>
          <w:kern w:val="2"/>
          <w:sz w:val="22"/>
          <w:szCs w:val="22"/>
        </w:rPr>
        <w:t>συσκευασίες /</w:t>
      </w:r>
      <w:r>
        <w:rPr>
          <w:b w:val="false"/>
          <w:i w:val="false"/>
          <w:color w:val="000000"/>
          <w:kern w:val="2"/>
          <w:sz w:val="22"/>
          <w:szCs w:val="22"/>
          <w:lang w:val="el-GR"/>
        </w:rPr>
        <w:t>έτος του αναλωσίμου για τον αριθμό των εξετάσεων</w:t>
      </w:r>
      <w:r>
        <w:rPr>
          <w:b w:val="false"/>
          <w:i w:val="false"/>
          <w:color w:val="000000"/>
          <w:kern w:val="2"/>
          <w:sz w:val="22"/>
          <w:szCs w:val="22"/>
        </w:rPr>
        <w:t>, για κάθε είδος αν</w:t>
      </w:r>
      <w:r>
        <w:rPr>
          <w:b w:val="false"/>
          <w:i w:val="false"/>
          <w:color w:val="000000"/>
          <w:kern w:val="2"/>
          <w:sz w:val="22"/>
          <w:szCs w:val="22"/>
          <w:lang w:val="el-GR"/>
        </w:rPr>
        <w:t>αλωσίμου</w:t>
      </w:r>
      <w:r>
        <w:rPr>
          <w:b w:val="false"/>
          <w:i w:val="false"/>
          <w:color w:val="000000"/>
          <w:kern w:val="2"/>
          <w:sz w:val="22"/>
          <w:szCs w:val="22"/>
        </w:rPr>
        <w:t xml:space="preserve"> της στήλης 3.</w:t>
      </w:r>
    </w:p>
    <w:p>
      <w:pPr>
        <w:pStyle w:val="Normal"/>
        <w:spacing w:before="0" w:after="6"/>
        <w:rPr>
          <w:sz w:val="22"/>
          <w:szCs w:val="22"/>
        </w:rPr>
      </w:pPr>
      <w:r>
        <w:rPr>
          <w:b w:val="false"/>
          <w:i w:val="false"/>
          <w:color w:val="000000"/>
          <w:kern w:val="2"/>
          <w:sz w:val="22"/>
          <w:szCs w:val="22"/>
          <w:lang w:val="el-GR"/>
        </w:rPr>
        <w:t>6</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6 </w:t>
      </w:r>
      <w:r>
        <w:rPr>
          <w:b w:val="false"/>
          <w:i w:val="false"/>
          <w:color w:val="000000"/>
          <w:kern w:val="2"/>
          <w:sz w:val="22"/>
          <w:szCs w:val="22"/>
        </w:rPr>
        <w:t>του πίνακα το αντίστοιχο κόστος της συσκευασίας.</w:t>
      </w:r>
    </w:p>
    <w:p>
      <w:pPr>
        <w:pStyle w:val="Normal"/>
        <w:spacing w:before="0" w:after="6"/>
        <w:rPr>
          <w:sz w:val="22"/>
          <w:szCs w:val="22"/>
        </w:rPr>
      </w:pPr>
      <w:r>
        <w:rPr>
          <w:b w:val="false"/>
          <w:i w:val="false"/>
          <w:color w:val="000000"/>
          <w:kern w:val="2"/>
          <w:sz w:val="22"/>
          <w:szCs w:val="22"/>
          <w:lang w:val="el-GR"/>
        </w:rPr>
        <w:t>7</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7 </w:t>
      </w:r>
      <w:r>
        <w:rPr>
          <w:b w:val="false"/>
          <w:i w:val="false"/>
          <w:color w:val="000000"/>
          <w:kern w:val="2"/>
          <w:sz w:val="22"/>
          <w:szCs w:val="22"/>
        </w:rPr>
        <w:t xml:space="preserve">την τιμή </w:t>
      </w:r>
      <w:r>
        <w:rPr>
          <w:rFonts w:cs="Calibri"/>
          <w:b w:val="false"/>
          <w:i w:val="false"/>
          <w:color w:val="000000"/>
          <w:kern w:val="2"/>
          <w:sz w:val="22"/>
          <w:szCs w:val="22"/>
          <w:lang w:val="el-GR"/>
        </w:rPr>
        <w:t>€ χωρίς ΦΠΑ για τις απαιτούμενες εξετάσεις (ΛΟΙΠΑ ΑΝΑΛΩΣΙΜΑ)</w:t>
      </w:r>
      <w:r>
        <w:rPr>
          <w:b w:val="false"/>
          <w:i w:val="false"/>
          <w:color w:val="000000"/>
          <w:kern w:val="2"/>
          <w:sz w:val="22"/>
          <w:szCs w:val="22"/>
        </w:rPr>
        <w:t xml:space="preserve"> η οποία καθορίζεται ως εξής: </w:t>
      </w:r>
      <w:r>
        <w:rPr>
          <w:b w:val="false"/>
          <w:i w:val="false"/>
          <w:color w:val="000000"/>
          <w:kern w:val="2"/>
          <w:sz w:val="22"/>
          <w:szCs w:val="22"/>
          <w:lang w:val="el-GR"/>
        </w:rPr>
        <w:t>(</w:t>
      </w:r>
      <w:r>
        <w:rPr>
          <w:b w:val="false"/>
          <w:i w:val="false"/>
          <w:color w:val="000000"/>
          <w:kern w:val="2"/>
          <w:sz w:val="22"/>
          <w:szCs w:val="22"/>
        </w:rPr>
        <w:t>στήλη</w:t>
      </w:r>
      <w:r>
        <w:rPr>
          <w:b w:val="false"/>
          <w:i w:val="false"/>
          <w:color w:val="000000"/>
          <w:kern w:val="2"/>
          <w:sz w:val="22"/>
          <w:szCs w:val="22"/>
          <w:lang w:val="el-GR"/>
        </w:rPr>
        <w:t xml:space="preserve"> 5 </w:t>
      </w:r>
      <w:r>
        <w:rPr>
          <w:b w:val="false"/>
          <w:i w:val="false"/>
          <w:color w:val="000000"/>
          <w:kern w:val="2"/>
          <w:sz w:val="22"/>
          <w:szCs w:val="22"/>
        </w:rPr>
        <w:t xml:space="preserve">χ στήλη </w:t>
      </w:r>
      <w:r>
        <w:rPr>
          <w:b w:val="false"/>
          <w:i w:val="false"/>
          <w:color w:val="000000"/>
          <w:kern w:val="2"/>
          <w:sz w:val="22"/>
          <w:szCs w:val="22"/>
          <w:lang w:val="el-GR"/>
        </w:rPr>
        <w:t>6)</w:t>
      </w:r>
      <w:r>
        <w:rPr>
          <w:b w:val="false"/>
          <w:i w:val="false"/>
          <w:color w:val="000000"/>
          <w:kern w:val="2"/>
          <w:sz w:val="22"/>
          <w:szCs w:val="22"/>
        </w:rPr>
        <w:t xml:space="preserve"> </w:t>
      </w:r>
    </w:p>
    <w:p>
      <w:pPr>
        <w:pStyle w:val="Normal"/>
        <w:spacing w:before="0" w:after="6"/>
        <w:rPr>
          <w:sz w:val="22"/>
          <w:szCs w:val="22"/>
        </w:rPr>
      </w:pPr>
      <w:r>
        <w:rPr>
          <w:b w:val="false"/>
          <w:i w:val="false"/>
          <w:color w:val="000000"/>
          <w:kern w:val="2"/>
          <w:sz w:val="22"/>
          <w:szCs w:val="22"/>
          <w:lang w:val="el-GR"/>
        </w:rPr>
        <w:t>8</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8 το ποσοστό ΦΠΑ για τα </w:t>
      </w:r>
      <w:r>
        <w:rPr>
          <w:rFonts w:cs="Calibri"/>
          <w:b w:val="false"/>
          <w:i w:val="false"/>
          <w:color w:val="000000"/>
          <w:kern w:val="2"/>
          <w:sz w:val="22"/>
          <w:szCs w:val="22"/>
          <w:lang w:val="el-GR"/>
        </w:rPr>
        <w:t>ΛΟΙΠΑ ΑΝΑΛΩΣΙΜΑ.</w:t>
      </w:r>
    </w:p>
    <w:p>
      <w:pPr>
        <w:pStyle w:val="Normal"/>
        <w:spacing w:before="0" w:after="6"/>
        <w:rPr>
          <w:sz w:val="22"/>
          <w:szCs w:val="22"/>
        </w:rPr>
      </w:pPr>
      <w:r>
        <w:rPr>
          <w:b w:val="false"/>
          <w:i w:val="false"/>
          <w:color w:val="000000"/>
          <w:kern w:val="2"/>
          <w:sz w:val="22"/>
          <w:szCs w:val="22"/>
          <w:lang w:val="el-GR"/>
        </w:rPr>
        <w:t>9. Συμπληρώνετε στην στήλη 9 το ποσό</w:t>
      </w:r>
      <w:r>
        <w:rPr>
          <w:b w:val="false"/>
          <w:bCs w:val="false"/>
          <w:i w:val="false"/>
          <w:color w:val="000000"/>
          <w:kern w:val="2"/>
          <w:sz w:val="22"/>
          <w:szCs w:val="22"/>
          <w:lang w:val="el-GR"/>
        </w:rPr>
        <w:t xml:space="preserve"> για το </w:t>
      </w:r>
      <w:r>
        <w:rPr>
          <w:b w:val="false"/>
          <w:bCs/>
          <w:i w:val="false"/>
          <w:color w:val="000000"/>
          <w:kern w:val="2"/>
          <w:sz w:val="22"/>
          <w:szCs w:val="22"/>
          <w:lang w:val="el-GR"/>
        </w:rPr>
        <w:t xml:space="preserve">σύνολο των εξετάσεων </w:t>
      </w:r>
      <w:r>
        <w:rPr>
          <w:b w:val="false"/>
          <w:bCs w:val="false"/>
          <w:i w:val="false"/>
          <w:color w:val="000000"/>
          <w:kern w:val="2"/>
          <w:sz w:val="22"/>
          <w:szCs w:val="22"/>
          <w:lang w:val="el-GR"/>
        </w:rPr>
        <w:t>ΦΠΑ (στήλη 7* στήλη 8)</w:t>
      </w:r>
    </w:p>
    <w:p>
      <w:pPr>
        <w:pStyle w:val="Normal"/>
        <w:spacing w:before="0" w:after="6"/>
        <w:rPr>
          <w:sz w:val="22"/>
          <w:szCs w:val="22"/>
        </w:rPr>
      </w:pPr>
      <w:r>
        <w:rPr>
          <w:b w:val="false"/>
          <w:bCs w:val="false"/>
          <w:i w:val="false"/>
          <w:color w:val="000000"/>
          <w:kern w:val="2"/>
          <w:sz w:val="22"/>
          <w:szCs w:val="22"/>
          <w:lang w:val="el-GR"/>
        </w:rPr>
        <w:t>10. Συμπληρώνετε στην στήλη 10 τη συνολική τιμή με ΦΠΑ (στήλη 7+ στήλη 9)</w:t>
      </w:r>
    </w:p>
    <w:p>
      <w:pPr>
        <w:pStyle w:val="Normal"/>
        <w:spacing w:before="0" w:after="6"/>
        <w:rPr>
          <w:b w:val="false"/>
          <w:b w:val="false"/>
          <w:bCs w:val="false"/>
          <w:i w:val="false"/>
          <w:i w:val="false"/>
          <w:color w:val="000000"/>
          <w:kern w:val="2"/>
          <w:lang w:val="el-GR"/>
        </w:rPr>
      </w:pPr>
      <w:r>
        <w:rPr>
          <w:b w:val="false"/>
          <w:bCs w:val="false"/>
          <w:i w:val="false"/>
          <w:color w:val="000000"/>
          <w:kern w:val="2"/>
          <w:lang w:val="el-GR"/>
        </w:rPr>
      </w:r>
    </w:p>
    <w:p>
      <w:pPr>
        <w:pStyle w:val="Normal"/>
        <w:rPr>
          <w:rFonts w:ascii="Calibri" w:hAnsi="Calibri"/>
          <w:sz w:val="24"/>
          <w:szCs w:val="24"/>
        </w:rPr>
      </w:pPr>
      <w:r>
        <w:rPr>
          <w:rFonts w:cs="Calibri-Bold"/>
          <w:b/>
          <w:bCs/>
          <w:i w:val="false"/>
          <w:color w:val="auto"/>
          <w:sz w:val="24"/>
          <w:szCs w:val="24"/>
          <w:u w:val="single"/>
        </w:rPr>
        <w:t xml:space="preserve">Πίνακας </w:t>
      </w:r>
      <w:r>
        <w:rPr>
          <w:rFonts w:cs="Calibri-Bold"/>
          <w:b/>
          <w:bCs/>
          <w:i w:val="false"/>
          <w:color w:val="auto"/>
          <w:sz w:val="24"/>
          <w:szCs w:val="24"/>
          <w:u w:val="single"/>
          <w:lang w:val="el-GR"/>
        </w:rPr>
        <w:t xml:space="preserve">1.3 </w:t>
      </w:r>
      <w:r>
        <w:rPr>
          <w:rFonts w:cs="Calibri-Bold"/>
          <w:b/>
          <w:bCs/>
          <w:i w:val="false"/>
          <w:color w:val="auto"/>
          <w:sz w:val="24"/>
          <w:szCs w:val="24"/>
          <w:u w:val="single"/>
        </w:rPr>
        <w:t>(</w:t>
      </w:r>
      <w:r>
        <w:rPr>
          <w:rFonts w:cs="Calibri-Bold"/>
          <w:b/>
          <w:bCs/>
          <w:i w:val="false"/>
          <w:color w:val="auto"/>
          <w:sz w:val="24"/>
          <w:szCs w:val="24"/>
          <w:u w:val="single"/>
          <w:lang w:val="el-GR"/>
        </w:rPr>
        <w:t>ανάλυσης συνολικού κόστους προμήθειας ανά τμήμα</w:t>
      </w:r>
      <w:r>
        <w:rPr>
          <w:rFonts w:cs="Calibri-Bold"/>
          <w:b/>
          <w:bCs/>
          <w:i w:val="false"/>
          <w:color w:val="auto"/>
          <w:sz w:val="24"/>
          <w:szCs w:val="24"/>
          <w:u w:val="single"/>
        </w:rPr>
        <w:t>)</w:t>
      </w:r>
      <w:r>
        <w:rPr>
          <w:rFonts w:cs="Calibri-Bold"/>
          <w:b/>
          <w:bCs/>
          <w:i w:val="false"/>
          <w:color w:val="auto"/>
          <w:sz w:val="24"/>
          <w:szCs w:val="24"/>
        </w:rPr>
        <w:t xml:space="preserve"> </w:t>
      </w:r>
    </w:p>
    <w:p>
      <w:pPr>
        <w:pStyle w:val="Normal"/>
        <w:rPr>
          <w:rFonts w:cs="Calibri-Bold"/>
          <w:b/>
          <w:b/>
          <w:bCs/>
          <w:i w:val="false"/>
          <w:i w:val="false"/>
          <w:color w:val="auto"/>
        </w:rPr>
      </w:pPr>
      <w:r>
        <w:rPr>
          <w:rFonts w:cs="Calibri-Bold"/>
          <w:b/>
          <w:bCs/>
          <w:i w:val="false"/>
          <w:color w:val="auto"/>
        </w:rPr>
      </w:r>
    </w:p>
    <w:tbl>
      <w:tblPr>
        <w:tblW w:w="9478" w:type="dxa"/>
        <w:jc w:val="center"/>
        <w:tblInd w:w="0" w:type="dxa"/>
        <w:tblLayout w:type="fixed"/>
        <w:tblCellMar>
          <w:top w:w="50" w:type="dxa"/>
          <w:left w:w="50" w:type="dxa"/>
          <w:bottom w:w="50" w:type="dxa"/>
          <w:right w:w="50" w:type="dxa"/>
        </w:tblCellMar>
      </w:tblPr>
      <w:tblGrid>
        <w:gridCol w:w="562"/>
        <w:gridCol w:w="3178"/>
        <w:gridCol w:w="965"/>
        <w:gridCol w:w="1585"/>
        <w:gridCol w:w="1593"/>
        <w:gridCol w:w="1594"/>
      </w:tblGrid>
      <w:tr>
        <w:trPr/>
        <w:tc>
          <w:tcPr>
            <w:tcW w:w="562" w:type="dxa"/>
            <w:tcBorders>
              <w:top w:val="single" w:sz="4" w:space="0" w:color="000000"/>
              <w:left w:val="single" w:sz="4" w:space="0" w:color="000000"/>
              <w:bottom w:val="single" w:sz="4" w:space="0" w:color="000000"/>
            </w:tcBorders>
          </w:tcPr>
          <w:p>
            <w:pPr>
              <w:pStyle w:val="Normal"/>
              <w:widowControl w:val="false"/>
              <w:snapToGrid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r>
          </w:p>
        </w:tc>
        <w:tc>
          <w:tcPr>
            <w:tcW w:w="3178"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1</w:t>
            </w:r>
          </w:p>
        </w:tc>
        <w:tc>
          <w:tcPr>
            <w:tcW w:w="965"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2</w:t>
            </w:r>
          </w:p>
        </w:tc>
        <w:tc>
          <w:tcPr>
            <w:tcW w:w="1585"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3</w:t>
            </w:r>
          </w:p>
        </w:tc>
        <w:tc>
          <w:tcPr>
            <w:tcW w:w="1593" w:type="dxa"/>
            <w:tcBorders>
              <w:top w:val="single" w:sz="4" w:space="0" w:color="000000"/>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4</w:t>
            </w:r>
          </w:p>
        </w:tc>
        <w:tc>
          <w:tcPr>
            <w:tcW w:w="15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lang w:val="el-GR"/>
              </w:rPr>
            </w:pPr>
            <w:r>
              <w:rPr>
                <w:rFonts w:cs="Calibri"/>
                <w:b w:val="false"/>
                <w:i w:val="false"/>
                <w:color w:val="000000"/>
                <w:kern w:val="2"/>
                <w:sz w:val="16"/>
                <w:szCs w:val="16"/>
                <w:lang w:val="el-GR"/>
              </w:rPr>
              <w:t>5=3+4</w:t>
            </w:r>
          </w:p>
        </w:tc>
      </w:tr>
      <w:tr>
        <w:trPr>
          <w:trHeight w:val="1111" w:hRule="atLeast"/>
        </w:trPr>
        <w:tc>
          <w:tcPr>
            <w:tcW w:w="562" w:type="dxa"/>
            <w:tcBorders>
              <w:left w:val="single" w:sz="4" w:space="0" w:color="000000"/>
              <w:bottom w:val="single" w:sz="4" w:space="0" w:color="000000"/>
            </w:tcBorders>
          </w:tcPr>
          <w:p>
            <w:pPr>
              <w:pStyle w:val="Normal"/>
              <w:widowControl w:val="false"/>
              <w:spacing w:before="0" w:after="120"/>
              <w:jc w:val="center"/>
              <w:rPr>
                <w:rFonts w:cs="Calibri"/>
                <w:b w:val="false"/>
                <w:b w:val="false"/>
                <w:i w:val="false"/>
                <w:i w:val="false"/>
                <w:color w:val="000000"/>
                <w:kern w:val="2"/>
                <w:sz w:val="14"/>
                <w:szCs w:val="14"/>
              </w:rPr>
            </w:pPr>
            <w:r>
              <w:rPr>
                <w:rFonts w:cs="Calibri"/>
                <w:b w:val="false"/>
                <w:i w:val="false"/>
                <w:color w:val="000000"/>
                <w:kern w:val="2"/>
                <w:sz w:val="14"/>
                <w:szCs w:val="14"/>
                <w:lang w:val="el-GR"/>
              </w:rPr>
              <w:t>α/α</w:t>
            </w:r>
          </w:p>
        </w:tc>
        <w:tc>
          <w:tcPr>
            <w:tcW w:w="3178"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ΤΜΗΜΑ</w:t>
            </w:r>
          </w:p>
        </w:tc>
        <w:tc>
          <w:tcPr>
            <w:tcW w:w="965" w:type="dxa"/>
            <w:tcBorders>
              <w:left w:val="single" w:sz="4" w:space="0" w:color="000000"/>
              <w:bottom w:val="single" w:sz="4" w:space="0" w:color="000000"/>
            </w:tcBorders>
          </w:tcPr>
          <w:p>
            <w:pPr>
              <w:pStyle w:val="Normal"/>
              <w:widowControl w:val="false"/>
              <w:spacing w:before="0" w:after="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Σύνολο</w:t>
            </w:r>
          </w:p>
          <w:p>
            <w:pPr>
              <w:pStyle w:val="Normal"/>
              <w:widowControl w:val="false"/>
              <w:spacing w:before="0" w:after="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εξετάσεων</w:t>
            </w:r>
          </w:p>
          <w:p>
            <w:pPr>
              <w:pStyle w:val="Normal"/>
              <w:widowControl w:val="false"/>
              <w:spacing w:before="0" w:after="0"/>
              <w:jc w:val="center"/>
              <w:rPr>
                <w:rFonts w:ascii="Calibri" w:hAnsi="Calibri" w:cs="Calibri"/>
                <w:b w:val="false"/>
                <w:b w:val="false"/>
                <w:i w:val="false"/>
                <w:i w:val="false"/>
                <w:color w:val="000000"/>
                <w:kern w:val="2"/>
                <w:sz w:val="14"/>
                <w:szCs w:val="14"/>
              </w:rPr>
            </w:pPr>
            <w:r>
              <w:rPr>
                <w:rFonts w:cs="Calibri"/>
                <w:b w:val="false"/>
                <w:i w:val="false"/>
                <w:color w:val="000000"/>
                <w:kern w:val="2"/>
                <w:sz w:val="14"/>
                <w:szCs w:val="14"/>
              </w:rPr>
              <w:t>ετησίως</w:t>
            </w:r>
          </w:p>
        </w:tc>
        <w:tc>
          <w:tcPr>
            <w:tcW w:w="1585"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Τιμή € χωρίς ΦΠΑ για τις απαιτούμενες εξετάσεις (ΑΝΤΙΔΡΑΣΤΗΡΙΑ) (Σύνολο πίνακας 1 στήλη 8)</w:t>
            </w:r>
          </w:p>
        </w:tc>
        <w:tc>
          <w:tcPr>
            <w:tcW w:w="1593"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4"/>
                <w:szCs w:val="14"/>
                <w:lang w:val="el-GR"/>
              </w:rPr>
            </w:pPr>
            <w:r>
              <w:rPr>
                <w:rFonts w:cs="Calibri"/>
                <w:b w:val="false"/>
                <w:i w:val="false"/>
                <w:color w:val="000000"/>
                <w:kern w:val="2"/>
                <w:sz w:val="14"/>
                <w:szCs w:val="14"/>
                <w:lang w:val="el-GR"/>
              </w:rPr>
              <w:t>Τιμή € χωρίς ΦΠΑ για τις απαιτούμενες εξετάσεις (ΛΟΙΠΑ ΑΝΑΛΩΣΙΜΑ)  (Σύνολο πίνακας 2 στήλη 7)</w:t>
            </w:r>
          </w:p>
        </w:tc>
        <w:tc>
          <w:tcPr>
            <w:tcW w:w="1594" w:type="dxa"/>
            <w:tcBorders>
              <w:left w:val="single" w:sz="4" w:space="0" w:color="000000"/>
              <w:bottom w:val="single" w:sz="4" w:space="0" w:color="000000"/>
              <w:right w:val="single" w:sz="4" w:space="0" w:color="000000"/>
            </w:tcBorders>
          </w:tcPr>
          <w:p>
            <w:pPr>
              <w:pStyle w:val="Normal"/>
              <w:widowControl w:val="false"/>
              <w:spacing w:before="0" w:after="120"/>
              <w:jc w:val="center"/>
              <w:rPr/>
            </w:pPr>
            <w:r>
              <w:rPr>
                <w:rFonts w:cs="Calibri"/>
                <w:b w:val="false"/>
                <w:i w:val="false"/>
                <w:color w:val="000000"/>
                <w:kern w:val="2"/>
                <w:sz w:val="14"/>
                <w:szCs w:val="14"/>
                <w:lang w:val="el-GR"/>
              </w:rPr>
              <w:t>Συνολική τιμή</w:t>
            </w:r>
            <w:r>
              <w:rPr>
                <w:rFonts w:cs="Calibri"/>
                <w:b w:val="false"/>
                <w:i w:val="false"/>
                <w:color w:val="000000"/>
                <w:kern w:val="2"/>
                <w:sz w:val="14"/>
                <w:szCs w:val="14"/>
                <w:lang w:val="en-US"/>
              </w:rPr>
              <w:t xml:space="preserve"> </w:t>
            </w:r>
            <w:r>
              <w:rPr>
                <w:rFonts w:cs="Calibri"/>
                <w:b w:val="false"/>
                <w:i w:val="false"/>
                <w:color w:val="000000"/>
                <w:kern w:val="2"/>
                <w:sz w:val="14"/>
                <w:szCs w:val="14"/>
                <w:lang w:val="el-GR"/>
              </w:rPr>
              <w:t>€ χωρίς ΦΠΑ για τις απαιτούμενες εξετάσεις του τμήματος</w:t>
            </w:r>
          </w:p>
        </w:tc>
      </w:tr>
      <w:tr>
        <w:trPr/>
        <w:tc>
          <w:tcPr>
            <w:tcW w:w="562" w:type="dxa"/>
            <w:tcBorders>
              <w:left w:val="single" w:sz="4" w:space="0" w:color="000000"/>
              <w:bottom w:val="single" w:sz="4" w:space="0" w:color="000000"/>
            </w:tcBorders>
          </w:tcPr>
          <w:p>
            <w:pPr>
              <w:pStyle w:val="Normal"/>
              <w:widowControl w:val="false"/>
              <w:spacing w:before="0" w:after="120"/>
              <w:jc w:val="center"/>
              <w:rPr>
                <w:rFonts w:ascii="Calibri" w:hAnsi="Calibri" w:cs="Calibri"/>
                <w:b w:val="false"/>
                <w:b w:val="false"/>
                <w:i w:val="false"/>
                <w:i w:val="false"/>
                <w:color w:val="000000"/>
                <w:kern w:val="2"/>
                <w:sz w:val="16"/>
                <w:szCs w:val="16"/>
              </w:rPr>
            </w:pPr>
            <w:r>
              <w:rPr>
                <w:rFonts w:cs="Calibri"/>
                <w:b w:val="false"/>
                <w:i w:val="false"/>
                <w:color w:val="000000"/>
                <w:kern w:val="2"/>
                <w:sz w:val="16"/>
                <w:szCs w:val="16"/>
              </w:rPr>
              <w:t>1</w:t>
            </w:r>
          </w:p>
        </w:tc>
        <w:tc>
          <w:tcPr>
            <w:tcW w:w="3178" w:type="dxa"/>
            <w:tcBorders>
              <w:left w:val="single" w:sz="4" w:space="0" w:color="000000"/>
              <w:bottom w:val="single" w:sz="4" w:space="0" w:color="000000"/>
            </w:tcBorders>
          </w:tcPr>
          <w:p>
            <w:pPr>
              <w:pStyle w:val="Normal"/>
              <w:widowControl w:val="false"/>
              <w:snapToGrid w:val="false"/>
              <w:spacing w:lineRule="auto" w:line="240" w:before="0" w:after="0"/>
              <w:jc w:val="left"/>
              <w:rPr>
                <w:rFonts w:eastAsia="Times New Roman" w:cs="Calibri"/>
                <w:b/>
                <w:b/>
                <w:bCs/>
                <w:i w:val="false"/>
                <w:i w:val="false"/>
                <w:iCs w:val="false"/>
                <w:strike w:val="false"/>
                <w:dstrike w:val="false"/>
                <w:outline w:val="false"/>
                <w:shadow w:val="false"/>
                <w:color w:val="000000"/>
                <w:sz w:val="16"/>
                <w:szCs w:val="16"/>
                <w:u w:val="none"/>
                <w:em w:val="none"/>
                <w:lang w:val="el-GR" w:eastAsia="zh-CN" w:bidi="ar-SA"/>
              </w:rPr>
            </w:pPr>
            <w:r>
              <w:rPr>
                <w:rFonts w:eastAsia="Times New Roman" w:cs="Calibri"/>
                <w:b/>
                <w:bCs/>
                <w:i w:val="false"/>
                <w:iCs w:val="false"/>
                <w:strike w:val="false"/>
                <w:dstrike w:val="false"/>
                <w:outline w:val="false"/>
                <w:shadow w:val="false"/>
                <w:color w:val="000000"/>
                <w:sz w:val="16"/>
                <w:szCs w:val="16"/>
                <w:u w:val="none"/>
                <w:em w:val="none"/>
                <w:lang w:val="el-GR" w:eastAsia="zh-CN" w:bidi="ar-SA"/>
              </w:rPr>
            </w:r>
          </w:p>
        </w:tc>
        <w:tc>
          <w:tcPr>
            <w:tcW w:w="96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eastAsia="Times New Roman" w:cs="Calibri"/>
                <w:b w:val="false"/>
                <w:b w:val="false"/>
                <w:bCs/>
                <w:i w:val="false"/>
                <w:i w:val="false"/>
                <w:iCs w:val="false"/>
                <w:strike w:val="false"/>
                <w:dstrike w:val="false"/>
                <w:outline w:val="false"/>
                <w:shadow w:val="false"/>
                <w:color w:val="000000"/>
                <w:kern w:val="2"/>
                <w:sz w:val="22"/>
                <w:szCs w:val="16"/>
                <w:u w:val="none"/>
                <w:em w:val="none"/>
                <w:lang w:val="el-GR" w:eastAsia="zh-CN" w:bidi="ar-SA"/>
              </w:rPr>
            </w:pPr>
            <w:r>
              <w:rPr>
                <w:rFonts w:eastAsia="Times New Roman" w:cs="Calibri"/>
                <w:b w:val="false"/>
                <w:bCs/>
                <w:i w:val="false"/>
                <w:iCs w:val="false"/>
                <w:strike w:val="false"/>
                <w:dstrike w:val="false"/>
                <w:outline w:val="false"/>
                <w:shadow w:val="false"/>
                <w:color w:val="000000"/>
                <w:kern w:val="2"/>
                <w:sz w:val="22"/>
                <w:szCs w:val="16"/>
                <w:u w:val="none"/>
                <w:em w:val="none"/>
                <w:lang w:val="el-GR" w:eastAsia="zh-CN" w:bidi="ar-SA"/>
              </w:rPr>
            </w:r>
          </w:p>
        </w:tc>
        <w:tc>
          <w:tcPr>
            <w:tcW w:w="1585"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eastAsia="Times New Roman" w:cs="Calibri"/>
                <w:b w:val="false"/>
                <w:b w:val="false"/>
                <w:bCs/>
                <w:i w:val="false"/>
                <w:i w:val="false"/>
                <w:iCs w:val="false"/>
                <w:strike w:val="false"/>
                <w:dstrike w:val="false"/>
                <w:outline w:val="false"/>
                <w:shadow w:val="false"/>
                <w:color w:val="000000"/>
                <w:kern w:val="2"/>
                <w:sz w:val="22"/>
                <w:szCs w:val="16"/>
                <w:u w:val="none"/>
                <w:em w:val="none"/>
                <w:lang w:val="el-GR" w:eastAsia="zh-CN" w:bidi="ar-SA"/>
              </w:rPr>
            </w:pPr>
            <w:r>
              <w:rPr>
                <w:rFonts w:eastAsia="Times New Roman" w:cs="Calibri"/>
                <w:b w:val="false"/>
                <w:bCs/>
                <w:i w:val="false"/>
                <w:iCs w:val="false"/>
                <w:strike w:val="false"/>
                <w:dstrike w:val="false"/>
                <w:outline w:val="false"/>
                <w:shadow w:val="false"/>
                <w:color w:val="000000"/>
                <w:kern w:val="2"/>
                <w:sz w:val="22"/>
                <w:szCs w:val="16"/>
                <w:u w:val="none"/>
                <w:em w:val="none"/>
                <w:lang w:val="el-GR" w:eastAsia="zh-CN" w:bidi="ar-SA"/>
              </w:rPr>
            </w:r>
          </w:p>
        </w:tc>
        <w:tc>
          <w:tcPr>
            <w:tcW w:w="1593" w:type="dxa"/>
            <w:tcBorders>
              <w:left w:val="single" w:sz="4" w:space="0" w:color="000000"/>
              <w:bottom w:val="single" w:sz="4" w:space="0" w:color="000000"/>
            </w:tcBorders>
          </w:tcPr>
          <w:p>
            <w:pPr>
              <w:pStyle w:val="Normal"/>
              <w:widowControl w:val="false"/>
              <w:snapToGrid w:val="false"/>
              <w:spacing w:before="0" w:after="120"/>
              <w:jc w:val="center"/>
              <w:rPr>
                <w:rFonts w:ascii="Calibri" w:hAnsi="Calibri" w:eastAsia="Times New Roman" w:cs="Calibri"/>
                <w:b w:val="false"/>
                <w:b w:val="false"/>
                <w:bCs/>
                <w:i w:val="false"/>
                <w:i w:val="false"/>
                <w:iCs w:val="false"/>
                <w:strike w:val="false"/>
                <w:dstrike w:val="false"/>
                <w:outline w:val="false"/>
                <w:shadow w:val="false"/>
                <w:color w:val="000000"/>
                <w:kern w:val="2"/>
                <w:sz w:val="22"/>
                <w:szCs w:val="16"/>
                <w:u w:val="none"/>
                <w:em w:val="none"/>
                <w:lang w:val="el-GR" w:eastAsia="zh-CN" w:bidi="ar-SA"/>
              </w:rPr>
            </w:pPr>
            <w:r>
              <w:rPr>
                <w:rFonts w:eastAsia="Times New Roman" w:cs="Calibri"/>
                <w:b w:val="false"/>
                <w:bCs/>
                <w:i w:val="false"/>
                <w:iCs w:val="false"/>
                <w:strike w:val="false"/>
                <w:dstrike w:val="false"/>
                <w:outline w:val="false"/>
                <w:shadow w:val="false"/>
                <w:color w:val="000000"/>
                <w:kern w:val="2"/>
                <w:sz w:val="22"/>
                <w:szCs w:val="16"/>
                <w:u w:val="none"/>
                <w:em w:val="none"/>
                <w:lang w:val="el-GR" w:eastAsia="zh-CN" w:bidi="ar-SA"/>
              </w:rPr>
            </w:r>
          </w:p>
        </w:tc>
        <w:tc>
          <w:tcPr>
            <w:tcW w:w="1594" w:type="dxa"/>
            <w:tcBorders>
              <w:left w:val="single" w:sz="4" w:space="0" w:color="000000"/>
              <w:bottom w:val="single" w:sz="4" w:space="0" w:color="000000"/>
              <w:right w:val="single" w:sz="4" w:space="0" w:color="000000"/>
            </w:tcBorders>
          </w:tcPr>
          <w:p>
            <w:pPr>
              <w:pStyle w:val="Normal"/>
              <w:widowControl w:val="false"/>
              <w:snapToGrid w:val="false"/>
              <w:spacing w:before="0" w:after="120"/>
              <w:jc w:val="center"/>
              <w:rPr>
                <w:rFonts w:ascii="Calibri" w:hAnsi="Calibri" w:eastAsia="Times New Roman" w:cs="Calibri"/>
                <w:b w:val="false"/>
                <w:b w:val="false"/>
                <w:bCs/>
                <w:i w:val="false"/>
                <w:i w:val="false"/>
                <w:iCs w:val="false"/>
                <w:strike w:val="false"/>
                <w:dstrike w:val="false"/>
                <w:outline w:val="false"/>
                <w:shadow w:val="false"/>
                <w:color w:val="000000"/>
                <w:kern w:val="2"/>
                <w:sz w:val="22"/>
                <w:szCs w:val="16"/>
                <w:u w:val="none"/>
                <w:em w:val="none"/>
                <w:lang w:val="el-GR" w:eastAsia="zh-CN" w:bidi="ar-SA"/>
              </w:rPr>
            </w:pPr>
            <w:r>
              <w:rPr>
                <w:rFonts w:eastAsia="Times New Roman" w:cs="Calibri"/>
                <w:b w:val="false"/>
                <w:bCs/>
                <w:i w:val="false"/>
                <w:iCs w:val="false"/>
                <w:strike w:val="false"/>
                <w:dstrike w:val="false"/>
                <w:outline w:val="false"/>
                <w:shadow w:val="false"/>
                <w:color w:val="000000"/>
                <w:kern w:val="2"/>
                <w:sz w:val="22"/>
                <w:szCs w:val="16"/>
                <w:u w:val="none"/>
                <w:em w:val="none"/>
                <w:lang w:val="el-GR" w:eastAsia="zh-CN" w:bidi="ar-SA"/>
              </w:rPr>
            </w:r>
          </w:p>
        </w:tc>
      </w:tr>
    </w:tbl>
    <w:p>
      <w:pPr>
        <w:pStyle w:val="Normal"/>
        <w:rPr>
          <w:rFonts w:ascii="Calibri-Bold" w:hAnsi="Calibri-Bold" w:cs="Calibri-Bold"/>
          <w:b/>
          <w:b/>
          <w:i w:val="false"/>
          <w:i w:val="false"/>
          <w:color w:val="002060"/>
          <w:sz w:val="24"/>
        </w:rPr>
      </w:pPr>
      <w:r>
        <w:rPr>
          <w:rFonts w:cs="Calibri-Bold" w:ascii="Calibri-Bold" w:hAnsi="Calibri-Bold"/>
          <w:b/>
          <w:i w:val="false"/>
          <w:color w:val="002060"/>
          <w:sz w:val="24"/>
        </w:rPr>
      </w:r>
    </w:p>
    <w:p>
      <w:pPr>
        <w:pStyle w:val="Normal"/>
        <w:spacing w:before="0" w:after="6"/>
        <w:rPr>
          <w:sz w:val="22"/>
          <w:szCs w:val="22"/>
        </w:rPr>
      </w:pPr>
      <w:r>
        <w:rPr>
          <w:b w:val="false"/>
          <w:i w:val="false"/>
          <w:color w:val="000000"/>
          <w:kern w:val="2"/>
          <w:sz w:val="22"/>
          <w:szCs w:val="22"/>
          <w:lang w:val="el-GR"/>
        </w:rPr>
        <w:t>1</w:t>
      </w:r>
      <w:r>
        <w:rPr>
          <w:b w:val="false"/>
          <w:i w:val="false"/>
          <w:color w:val="000000"/>
          <w:kern w:val="2"/>
          <w:sz w:val="22"/>
          <w:szCs w:val="22"/>
        </w:rPr>
        <w:t>. Συμπληρώνετε στην στήλη 1 του πίνακα ανάλυσης κόστους το όνομα τ</w:t>
      </w:r>
      <w:r>
        <w:rPr>
          <w:b w:val="false"/>
          <w:i w:val="false"/>
          <w:color w:val="000000"/>
          <w:kern w:val="2"/>
          <w:sz w:val="22"/>
          <w:szCs w:val="22"/>
          <w:lang w:val="el-GR"/>
        </w:rPr>
        <w:t>ου τμήματος</w:t>
      </w:r>
      <w:r>
        <w:rPr>
          <w:b w:val="false"/>
          <w:i w:val="false"/>
          <w:color w:val="000000"/>
          <w:kern w:val="2"/>
          <w:sz w:val="22"/>
          <w:szCs w:val="22"/>
        </w:rPr>
        <w:t xml:space="preserve"> . </w:t>
      </w:r>
      <w:r>
        <w:rPr>
          <w:b w:val="false"/>
          <w:i w:val="false"/>
          <w:color w:val="000000"/>
          <w:kern w:val="2"/>
          <w:sz w:val="22"/>
          <w:szCs w:val="22"/>
          <w:lang w:val="el-GR"/>
        </w:rPr>
        <w:t xml:space="preserve">π.χ. </w:t>
      </w:r>
      <w:r>
        <w:rPr>
          <w:rFonts w:cs="Calibri"/>
          <w:b/>
          <w:bCs/>
          <w:i w:val="false"/>
          <w:iCs w:val="false"/>
          <w:strike w:val="false"/>
          <w:dstrike w:val="false"/>
          <w:outline w:val="false"/>
          <w:shadow w:val="false"/>
          <w:color w:val="000000"/>
          <w:kern w:val="2"/>
          <w:sz w:val="22"/>
          <w:szCs w:val="22"/>
          <w:u w:val="none"/>
          <w:em w:val="none"/>
          <w:lang w:val="el-GR"/>
        </w:rPr>
        <w:t>1.</w:t>
      </w:r>
      <w:r>
        <w:rPr>
          <w:rFonts w:cs="Calibri" w:cstheme="minorHAnsi"/>
          <w:b/>
          <w:bCs/>
          <w:i w:val="false"/>
          <w:iCs w:val="false"/>
          <w:strike w:val="false"/>
          <w:dstrike w:val="false"/>
          <w:outline w:val="false"/>
          <w:shadow w:val="false"/>
          <w:color w:val="000000"/>
          <w:kern w:val="2"/>
          <w:sz w:val="22"/>
          <w:szCs w:val="22"/>
          <w:u w:val="single"/>
          <w:em w:val="none"/>
          <w:lang w:val="el-GR"/>
        </w:rPr>
        <w:t xml:space="preserve">ΑΝΑΛΥΤΗΣ ΟΥΡΩΝ ΕΦΗΜΕΡΕΙΟ (Αντιδραστήρια, calibrators, controls με </w:t>
      </w:r>
      <w:r>
        <w:rPr>
          <w:rFonts w:eastAsia="Times New Roman" w:cs="Calibri"/>
          <w:b/>
          <w:bCs/>
          <w:i w:val="false"/>
          <w:iCs w:val="false"/>
          <w:strike w:val="false"/>
          <w:dstrike w:val="false"/>
          <w:outline w:val="false"/>
          <w:shadow w:val="false"/>
          <w:color w:val="000000"/>
          <w:kern w:val="2"/>
          <w:sz w:val="22"/>
          <w:szCs w:val="22"/>
          <w:u w:val="single"/>
          <w:shd w:fill="auto" w:val="clear"/>
          <w:em w:val="none"/>
          <w:lang w:val="el-GR" w:eastAsia="zh-CN" w:bidi="ar-SA"/>
        </w:rPr>
        <w:t xml:space="preserve">δωρεάν </w:t>
      </w:r>
      <w:r>
        <w:rPr>
          <w:rFonts w:cs="Calibri" w:cstheme="minorHAnsi"/>
          <w:b/>
          <w:bCs/>
          <w:i w:val="false"/>
          <w:iCs w:val="false"/>
          <w:strike w:val="false"/>
          <w:dstrike w:val="false"/>
          <w:outline w:val="false"/>
          <w:shadow w:val="false"/>
          <w:color w:val="000000"/>
          <w:kern w:val="2"/>
          <w:sz w:val="22"/>
          <w:szCs w:val="22"/>
          <w:u w:val="single"/>
          <w:em w:val="none"/>
          <w:lang w:val="el-GR"/>
        </w:rPr>
        <w:t>συνοδό εξοπλισμό)</w:t>
      </w:r>
    </w:p>
    <w:p>
      <w:pPr>
        <w:pStyle w:val="Normal"/>
        <w:spacing w:before="0" w:after="6"/>
        <w:rPr>
          <w:sz w:val="22"/>
          <w:szCs w:val="22"/>
        </w:rPr>
      </w:pPr>
      <w:r>
        <w:rPr>
          <w:b w:val="false"/>
          <w:i w:val="false"/>
          <w:color w:val="000000"/>
          <w:kern w:val="2"/>
          <w:sz w:val="22"/>
          <w:szCs w:val="22"/>
          <w:lang w:val="el-GR"/>
        </w:rPr>
        <w:t>2</w:t>
      </w:r>
      <w:r>
        <w:rPr>
          <w:b w:val="false"/>
          <w:i w:val="false"/>
          <w:color w:val="000000"/>
          <w:kern w:val="2"/>
          <w:sz w:val="22"/>
          <w:szCs w:val="22"/>
        </w:rPr>
        <w:t>. Συμπληρώνετε στην στήλη 2 του πίνακα τον ετήσιο αριθμό της εξέτασης τ</w:t>
      </w:r>
      <w:r>
        <w:rPr>
          <w:b w:val="false"/>
          <w:i w:val="false"/>
          <w:color w:val="000000"/>
          <w:kern w:val="2"/>
          <w:sz w:val="22"/>
          <w:szCs w:val="22"/>
          <w:lang w:val="el-GR"/>
        </w:rPr>
        <w:t>ου τμήματος.</w:t>
      </w:r>
    </w:p>
    <w:p>
      <w:pPr>
        <w:pStyle w:val="Normal"/>
        <w:spacing w:before="0" w:after="6"/>
        <w:rPr>
          <w:sz w:val="22"/>
          <w:szCs w:val="22"/>
        </w:rPr>
      </w:pPr>
      <w:r>
        <w:rPr>
          <w:b w:val="false"/>
          <w:i w:val="false"/>
          <w:color w:val="000000"/>
          <w:kern w:val="2"/>
          <w:sz w:val="22"/>
          <w:szCs w:val="22"/>
          <w:lang w:val="el-GR"/>
        </w:rPr>
        <w:t>3</w:t>
      </w:r>
      <w:r>
        <w:rPr>
          <w:b w:val="false"/>
          <w:i w:val="false"/>
          <w:color w:val="000000"/>
          <w:kern w:val="2"/>
          <w:sz w:val="22"/>
          <w:szCs w:val="22"/>
        </w:rPr>
        <w:t>. Συμπληρώνετε στην στήλη 3 του πίνακα τ</w:t>
      </w:r>
      <w:r>
        <w:rPr>
          <w:b w:val="false"/>
          <w:i w:val="false"/>
          <w:color w:val="000000"/>
          <w:kern w:val="2"/>
          <w:sz w:val="22"/>
          <w:szCs w:val="22"/>
          <w:lang w:val="el-GR"/>
        </w:rPr>
        <w:t>ο σύνολο της στήλης 8 του πίνακα 1.</w:t>
      </w:r>
    </w:p>
    <w:p>
      <w:pPr>
        <w:pStyle w:val="Normal"/>
        <w:spacing w:before="0" w:after="6"/>
        <w:rPr>
          <w:sz w:val="22"/>
          <w:szCs w:val="22"/>
        </w:rPr>
      </w:pPr>
      <w:r>
        <w:rPr>
          <w:b w:val="false"/>
          <w:i w:val="false"/>
          <w:color w:val="000000"/>
          <w:kern w:val="2"/>
          <w:sz w:val="22"/>
          <w:szCs w:val="22"/>
          <w:lang w:val="el-GR"/>
        </w:rPr>
        <w:t>4</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4  του πίνακα το σύνολο της στήλης 7 του πίνακα 2.</w:t>
      </w:r>
    </w:p>
    <w:p>
      <w:pPr>
        <w:pStyle w:val="Normal"/>
        <w:spacing w:before="0" w:after="6"/>
        <w:rPr>
          <w:sz w:val="22"/>
          <w:szCs w:val="22"/>
        </w:rPr>
      </w:pPr>
      <w:r>
        <w:rPr>
          <w:b w:val="false"/>
          <w:i w:val="false"/>
          <w:color w:val="000000"/>
          <w:kern w:val="2"/>
          <w:sz w:val="22"/>
          <w:szCs w:val="22"/>
          <w:lang w:val="el-GR"/>
        </w:rPr>
        <w:t>5</w:t>
      </w:r>
      <w:r>
        <w:rPr>
          <w:b w:val="false"/>
          <w:i w:val="false"/>
          <w:color w:val="000000"/>
          <w:kern w:val="2"/>
          <w:sz w:val="22"/>
          <w:szCs w:val="22"/>
        </w:rPr>
        <w:t>. Συμπληρώνετε στην στήλη</w:t>
      </w:r>
      <w:r>
        <w:rPr>
          <w:b w:val="false"/>
          <w:i w:val="false"/>
          <w:color w:val="000000"/>
          <w:kern w:val="2"/>
          <w:sz w:val="22"/>
          <w:szCs w:val="22"/>
          <w:lang w:val="el-GR"/>
        </w:rPr>
        <w:t xml:space="preserve"> 5 </w:t>
      </w:r>
      <w:r>
        <w:rPr>
          <w:b w:val="false"/>
          <w:i w:val="false"/>
          <w:color w:val="000000"/>
          <w:kern w:val="2"/>
          <w:sz w:val="22"/>
          <w:szCs w:val="22"/>
        </w:rPr>
        <w:t xml:space="preserve">του πίνακα </w:t>
      </w:r>
      <w:r>
        <w:rPr>
          <w:b w:val="false"/>
          <w:i w:val="false"/>
          <w:color w:val="000000"/>
          <w:kern w:val="2"/>
          <w:sz w:val="22"/>
          <w:szCs w:val="22"/>
          <w:lang w:val="el-GR"/>
        </w:rPr>
        <w:t>το άθροισμα των στηλών 3 και 4 του πίνακα 3.</w:t>
      </w:r>
    </w:p>
    <w:p>
      <w:pPr>
        <w:pStyle w:val="Normal"/>
        <w:rPr>
          <w:rFonts w:ascii="Calibri" w:hAnsi="Calibri" w:cs="Calibri-Bold"/>
          <w:b/>
          <w:b/>
          <w:i w:val="false"/>
          <w:i w:val="false"/>
          <w:color w:val="002060"/>
          <w:sz w:val="24"/>
          <w:szCs w:val="24"/>
        </w:rPr>
      </w:pPr>
      <w:r>
        <w:rPr>
          <w:rFonts w:cs="Calibri-Bold"/>
          <w:b/>
          <w:i w:val="false"/>
          <w:color w:val="002060"/>
          <w:sz w:val="24"/>
          <w:szCs w:val="24"/>
        </w:rPr>
      </w:r>
    </w:p>
    <w:p>
      <w:pPr>
        <w:pStyle w:val="Normal"/>
        <w:spacing w:before="0" w:after="200"/>
        <w:rPr>
          <w:rFonts w:ascii="Calibri-Bold" w:hAnsi="Calibri-Bold" w:cs="Calibri-Bold"/>
          <w:b/>
          <w:b/>
          <w:bCs/>
          <w:i w:val="false"/>
          <w:i w:val="false"/>
          <w:color w:val="auto"/>
          <w:sz w:val="24"/>
          <w:szCs w:val="24"/>
          <w:u w:val="single"/>
        </w:rPr>
      </w:pPr>
      <w:r>
        <w:rPr/>
      </w:r>
    </w:p>
    <w:sectPr>
      <w:footerReference w:type="default" r:id="rId6"/>
      <w:type w:val="nextPage"/>
      <w:pgSz w:w="11906" w:h="16838"/>
      <w:pgMar w:left="709" w:right="707" w:gutter="0" w:header="0"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roman"/>
    <w:pitch w:val="variable"/>
  </w:font>
  <w:font w:name="SymbolMT">
    <w:charset w:val="a1"/>
    <w:family w:val="roman"/>
    <w:pitch w:val="variable"/>
  </w:font>
  <w:font w:name="Consolas">
    <w:charset w:val="a1"/>
    <w:family w:val="roman"/>
    <w:pitch w:val="variable"/>
  </w:font>
  <w:font w:name="Tahoma">
    <w:charset w:val="a1"/>
    <w:family w:val="roman"/>
    <w:pitch w:val="variable"/>
  </w:font>
  <w:font w:name="Symbol">
    <w:charset w:val="a1"/>
    <w:family w:val="roman"/>
    <w:pitch w:val="variable"/>
  </w:font>
  <w:font w:name="OpenSymbol">
    <w:altName w:val="Arial Unicode MS"/>
    <w:charset w:val="a1"/>
    <w:family w:val="roman"/>
    <w:pitch w:val="variable"/>
  </w:font>
  <w:font w:name="Liberation Sans">
    <w:altName w:val="Arial"/>
    <w:charset w:val="a1"/>
    <w:family w:val="roman"/>
    <w:pitch w:val="variable"/>
  </w:font>
  <w:font w:name="Times New Roman">
    <w:charset w:val="a1"/>
    <w:family w:val="roman"/>
    <w:pitch w:val="variable"/>
  </w:font>
  <w:font w:name="Calibri-Bold">
    <w:charset w:val="a1"/>
    <w:family w:val="roman"/>
    <w:pitch w:val="variable"/>
  </w:font>
  <w:font w:name="Courier New">
    <w:charset w:val="01"/>
    <w:family w:val="modern"/>
    <w:pitch w:val="fixed"/>
  </w:font>
  <w:font w:name="Wingdings">
    <w:charset w:val="02"/>
    <w:family w:val="auto"/>
    <w:pitch w:val="variable"/>
  </w:font>
  <w:font w:name="Marlett">
    <w:charset w:val="02"/>
    <w:family w:val="auto"/>
    <w:pitch w:val="variable"/>
  </w:font>
  <w:font w:name="Angsana New">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29703442"/>
    </w:sdtPr>
    <w:sdtContent>
      <w:p>
        <w:pPr>
          <w:pStyle w:val="Style25"/>
          <w:jc w:val="center"/>
          <w:rPr/>
        </w:pPr>
        <w:r>
          <w:rPr/>
          <w:fldChar w:fldCharType="begin"/>
        </w:r>
        <w:r>
          <w:rPr/>
          <w:instrText> PAGE </w:instrText>
        </w:r>
        <w:r>
          <w:rPr/>
          <w:fldChar w:fldCharType="separate"/>
        </w:r>
        <w:r>
          <w:rPr/>
          <w:t>28</w:t>
        </w:r>
        <w:r>
          <w:rPr/>
          <w:fldChar w:fldCharType="end"/>
        </w:r>
      </w:p>
    </w:sdtContent>
  </w:sdt>
  <w:p>
    <w:pPr>
      <w:pStyle w:val="Style25"/>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54" w:hanging="360"/>
      </w:pPr>
      <w:rPr>
        <w:rFonts w:ascii="Symbol" w:hAnsi="Symbol" w:cs="Symbol" w:hint="default"/>
      </w:rPr>
    </w:lvl>
    <w:lvl w:ilvl="1">
      <w:start w:val="1"/>
      <w:numFmt w:val="bullet"/>
      <w:lvlText w:val="o"/>
      <w:lvlJc w:val="left"/>
      <w:pPr>
        <w:tabs>
          <w:tab w:val="num" w:pos="0"/>
        </w:tabs>
        <w:ind w:left="1474" w:hanging="360"/>
      </w:pPr>
      <w:rPr>
        <w:rFonts w:ascii="Courier New" w:hAnsi="Courier New" w:cs="Courier New" w:hint="default"/>
      </w:rPr>
    </w:lvl>
    <w:lvl w:ilvl="2">
      <w:start w:val="1"/>
      <w:numFmt w:val="bullet"/>
      <w:lvlText w:val=""/>
      <w:lvlJc w:val="left"/>
      <w:pPr>
        <w:tabs>
          <w:tab w:val="num" w:pos="0"/>
        </w:tabs>
        <w:ind w:left="2194" w:hanging="360"/>
      </w:pPr>
      <w:rPr>
        <w:rFonts w:ascii="Wingdings" w:hAnsi="Wingdings" w:cs="Wingdings" w:hint="default"/>
      </w:rPr>
    </w:lvl>
    <w:lvl w:ilvl="3">
      <w:start w:val="1"/>
      <w:numFmt w:val="bullet"/>
      <w:lvlText w:val=""/>
      <w:lvlJc w:val="left"/>
      <w:pPr>
        <w:tabs>
          <w:tab w:val="num" w:pos="0"/>
        </w:tabs>
        <w:ind w:left="2914" w:hanging="360"/>
      </w:pPr>
      <w:rPr>
        <w:rFonts w:ascii="Symbol" w:hAnsi="Symbol" w:cs="Symbol" w:hint="default"/>
      </w:rPr>
    </w:lvl>
    <w:lvl w:ilvl="4">
      <w:start w:val="1"/>
      <w:numFmt w:val="bullet"/>
      <w:lvlText w:val="o"/>
      <w:lvlJc w:val="left"/>
      <w:pPr>
        <w:tabs>
          <w:tab w:val="num" w:pos="0"/>
        </w:tabs>
        <w:ind w:left="3634" w:hanging="360"/>
      </w:pPr>
      <w:rPr>
        <w:rFonts w:ascii="Courier New" w:hAnsi="Courier New" w:cs="Courier New" w:hint="default"/>
      </w:rPr>
    </w:lvl>
    <w:lvl w:ilvl="5">
      <w:start w:val="1"/>
      <w:numFmt w:val="bullet"/>
      <w:lvlText w:val=""/>
      <w:lvlJc w:val="left"/>
      <w:pPr>
        <w:tabs>
          <w:tab w:val="num" w:pos="0"/>
        </w:tabs>
        <w:ind w:left="4354" w:hanging="360"/>
      </w:pPr>
      <w:rPr>
        <w:rFonts w:ascii="Wingdings" w:hAnsi="Wingdings" w:cs="Wingdings" w:hint="default"/>
      </w:rPr>
    </w:lvl>
    <w:lvl w:ilvl="6">
      <w:start w:val="1"/>
      <w:numFmt w:val="bullet"/>
      <w:lvlText w:val=""/>
      <w:lvlJc w:val="left"/>
      <w:pPr>
        <w:tabs>
          <w:tab w:val="num" w:pos="0"/>
        </w:tabs>
        <w:ind w:left="5074" w:hanging="360"/>
      </w:pPr>
      <w:rPr>
        <w:rFonts w:ascii="Symbol" w:hAnsi="Symbol" w:cs="Symbol" w:hint="default"/>
      </w:rPr>
    </w:lvl>
    <w:lvl w:ilvl="7">
      <w:start w:val="1"/>
      <w:numFmt w:val="bullet"/>
      <w:lvlText w:val="o"/>
      <w:lvlJc w:val="left"/>
      <w:pPr>
        <w:tabs>
          <w:tab w:val="num" w:pos="0"/>
        </w:tabs>
        <w:ind w:left="5794" w:hanging="360"/>
      </w:pPr>
      <w:rPr>
        <w:rFonts w:ascii="Courier New" w:hAnsi="Courier New" w:cs="Courier New" w:hint="default"/>
      </w:rPr>
    </w:lvl>
    <w:lvl w:ilvl="8">
      <w:start w:val="1"/>
      <w:numFmt w:val="bullet"/>
      <w:lvlText w:val=""/>
      <w:lvlJc w:val="left"/>
      <w:pPr>
        <w:tabs>
          <w:tab w:val="num" w:pos="0"/>
        </w:tabs>
        <w:ind w:left="6514"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sz w:val="24"/>
        <w:b w:val="false"/>
        <w:szCs w:val="24"/>
        <w:bCs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60" w:hanging="360"/>
      </w:pPr>
      <w:rPr>
        <w:rFonts w:ascii="Symbol" w:hAnsi="Symbol" w:cs="Symbol" w:hint="default"/>
        <w:sz w:val="18"/>
        <w:b/>
        <w:szCs w:val="18"/>
        <w:bCs/>
      </w:rPr>
    </w:lvl>
    <w:lvl w:ilvl="1">
      <w:start w:val="1"/>
      <w:numFmt w:val="bullet"/>
      <w:lvlText w:val="o"/>
      <w:lvlJc w:val="left"/>
      <w:pPr>
        <w:tabs>
          <w:tab w:val="num" w:pos="0"/>
        </w:tabs>
        <w:ind w:left="1480" w:hanging="360"/>
      </w:pPr>
      <w:rPr>
        <w:rFonts w:ascii="Courier New" w:hAnsi="Courier New" w:cs="Courier New" w:hint="default"/>
      </w:rPr>
    </w:lvl>
    <w:lvl w:ilvl="2">
      <w:start w:val="1"/>
      <w:numFmt w:val="bullet"/>
      <w:lvlText w:val=""/>
      <w:lvlJc w:val="left"/>
      <w:pPr>
        <w:tabs>
          <w:tab w:val="num" w:pos="0"/>
        </w:tabs>
        <w:ind w:left="2200" w:hanging="360"/>
      </w:pPr>
      <w:rPr>
        <w:rFonts w:ascii="Wingdings" w:hAnsi="Wingdings" w:cs="Wingdings" w:hint="default"/>
      </w:rPr>
    </w:lvl>
    <w:lvl w:ilvl="3">
      <w:start w:val="1"/>
      <w:numFmt w:val="bullet"/>
      <w:lvlText w:val=""/>
      <w:lvlJc w:val="left"/>
      <w:pPr>
        <w:tabs>
          <w:tab w:val="num" w:pos="0"/>
        </w:tabs>
        <w:ind w:left="2920" w:hanging="360"/>
      </w:pPr>
      <w:rPr>
        <w:rFonts w:ascii="Symbol" w:hAnsi="Symbol" w:cs="Symbol" w:hint="default"/>
      </w:rPr>
    </w:lvl>
    <w:lvl w:ilvl="4">
      <w:start w:val="1"/>
      <w:numFmt w:val="bullet"/>
      <w:lvlText w:val="o"/>
      <w:lvlJc w:val="left"/>
      <w:pPr>
        <w:tabs>
          <w:tab w:val="num" w:pos="0"/>
        </w:tabs>
        <w:ind w:left="3640" w:hanging="360"/>
      </w:pPr>
      <w:rPr>
        <w:rFonts w:ascii="Courier New" w:hAnsi="Courier New" w:cs="Courier New" w:hint="default"/>
      </w:rPr>
    </w:lvl>
    <w:lvl w:ilvl="5">
      <w:start w:val="1"/>
      <w:numFmt w:val="bullet"/>
      <w:lvlText w:val=""/>
      <w:lvlJc w:val="left"/>
      <w:pPr>
        <w:tabs>
          <w:tab w:val="num" w:pos="0"/>
        </w:tabs>
        <w:ind w:left="4360" w:hanging="360"/>
      </w:pPr>
      <w:rPr>
        <w:rFonts w:ascii="Wingdings" w:hAnsi="Wingdings" w:cs="Wingdings" w:hint="default"/>
      </w:rPr>
    </w:lvl>
    <w:lvl w:ilvl="6">
      <w:start w:val="1"/>
      <w:numFmt w:val="bullet"/>
      <w:lvlText w:val=""/>
      <w:lvlJc w:val="left"/>
      <w:pPr>
        <w:tabs>
          <w:tab w:val="num" w:pos="0"/>
        </w:tabs>
        <w:ind w:left="5080" w:hanging="360"/>
      </w:pPr>
      <w:rPr>
        <w:rFonts w:ascii="Symbol" w:hAnsi="Symbol" w:cs="Symbol" w:hint="default"/>
      </w:rPr>
    </w:lvl>
    <w:lvl w:ilvl="7">
      <w:start w:val="1"/>
      <w:numFmt w:val="bullet"/>
      <w:lvlText w:val="o"/>
      <w:lvlJc w:val="left"/>
      <w:pPr>
        <w:tabs>
          <w:tab w:val="num" w:pos="0"/>
        </w:tabs>
        <w:ind w:left="5800" w:hanging="360"/>
      </w:pPr>
      <w:rPr>
        <w:rFonts w:ascii="Courier New" w:hAnsi="Courier New" w:cs="Courier New" w:hint="default"/>
      </w:rPr>
    </w:lvl>
    <w:lvl w:ilvl="8">
      <w:start w:val="1"/>
      <w:numFmt w:val="bullet"/>
      <w:lvlText w:val=""/>
      <w:lvlJc w:val="left"/>
      <w:pPr>
        <w:tabs>
          <w:tab w:val="num" w:pos="0"/>
        </w:tabs>
        <w:ind w:left="652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bullet"/>
      <w:lvlText w:val=""/>
      <w:lvlJc w:val="left"/>
      <w:pPr>
        <w:tabs>
          <w:tab w:val="num" w:pos="0"/>
        </w:tabs>
        <w:ind w:left="1146" w:hanging="360"/>
      </w:pPr>
      <w:rPr>
        <w:rFonts w:ascii="Symbol" w:hAnsi="Symbol" w:cs="Symbol" w:hint="default"/>
        <w:sz w:val="22"/>
        <w:b/>
        <w:szCs w:val="22"/>
        <w:bCs/>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
    <w:lvl w:ilvl="0">
      <w:start w:val="1"/>
      <w:numFmt w:val="bullet"/>
      <w:lvlText w:val=""/>
      <w:lvlJc w:val="left"/>
      <w:pPr>
        <w:tabs>
          <w:tab w:val="num" w:pos="0"/>
        </w:tabs>
        <w:ind w:left="720" w:hanging="360"/>
      </w:pPr>
      <w:rPr>
        <w:rFonts w:ascii="Wingdings" w:hAnsi="Wingdings" w:cs="Wingdings" w:hint="default"/>
        <w:sz w:val="22"/>
        <w:b/>
        <w:szCs w:val="22"/>
        <w:bC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arlett" w:hAnsi="Marlett" w:cs="Marlett"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arlett" w:hAnsi="Marlett" w:cs="Marlett"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arlett" w:hAnsi="Marlett" w:cs="Marlett" w:hint="default"/>
      </w:rPr>
    </w:lvl>
  </w:abstractNum>
  <w:abstractNum w:abstractNumId="7">
    <w:lvl w:ilvl="0">
      <w:start w:val="1"/>
      <w:numFmt w:val="bullet"/>
      <w:lvlText w:val="-"/>
      <w:lvlJc w:val="left"/>
      <w:pPr>
        <w:tabs>
          <w:tab w:val="num" w:pos="0"/>
        </w:tabs>
        <w:ind w:left="720" w:hanging="360"/>
      </w:pPr>
      <w:rPr>
        <w:rFonts w:ascii="Angsana New" w:hAnsi="Angsana New" w:cs="Angsana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760"/>
        </w:tabs>
        <w:ind w:left="760" w:hanging="360"/>
      </w:pPr>
      <w:rPr>
        <w:rFonts w:ascii="Symbol" w:hAnsi="Symbol" w:cs="Symbol" w:hint="default"/>
        <w:sz w:val="18"/>
        <w:b/>
        <w:szCs w:val="18"/>
        <w:bCs/>
      </w:rPr>
    </w:lvl>
    <w:lvl w:ilvl="1">
      <w:start w:val="1"/>
      <w:numFmt w:val="decimal"/>
      <w:lvlText w:val="%2."/>
      <w:lvlJc w:val="left"/>
      <w:pPr>
        <w:tabs>
          <w:tab w:val="num" w:pos="1120"/>
        </w:tabs>
        <w:ind w:left="1120" w:hanging="360"/>
      </w:pPr>
    </w:lvl>
    <w:lvl w:ilvl="2">
      <w:start w:val="1"/>
      <w:numFmt w:val="decimal"/>
      <w:lvlText w:val="%3."/>
      <w:lvlJc w:val="left"/>
      <w:pPr>
        <w:tabs>
          <w:tab w:val="num" w:pos="1480"/>
        </w:tabs>
        <w:ind w:left="1480" w:hanging="360"/>
      </w:pPr>
    </w:lvl>
    <w:lvl w:ilvl="3">
      <w:start w:val="1"/>
      <w:numFmt w:val="decimal"/>
      <w:lvlText w:val="%4."/>
      <w:lvlJc w:val="left"/>
      <w:pPr>
        <w:tabs>
          <w:tab w:val="num" w:pos="1840"/>
        </w:tabs>
        <w:ind w:left="1840" w:hanging="360"/>
      </w:pPr>
    </w:lvl>
    <w:lvl w:ilvl="4">
      <w:start w:val="1"/>
      <w:numFmt w:val="decimal"/>
      <w:lvlText w:val="%5."/>
      <w:lvlJc w:val="left"/>
      <w:pPr>
        <w:tabs>
          <w:tab w:val="num" w:pos="2200"/>
        </w:tabs>
        <w:ind w:left="2200" w:hanging="360"/>
      </w:pPr>
    </w:lvl>
    <w:lvl w:ilvl="5">
      <w:start w:val="1"/>
      <w:numFmt w:val="decimal"/>
      <w:lvlText w:val="%6."/>
      <w:lvlJc w:val="left"/>
      <w:pPr>
        <w:tabs>
          <w:tab w:val="num" w:pos="2560"/>
        </w:tabs>
        <w:ind w:left="2560" w:hanging="360"/>
      </w:pPr>
    </w:lvl>
    <w:lvl w:ilvl="6">
      <w:start w:val="1"/>
      <w:numFmt w:val="decimal"/>
      <w:lvlText w:val="%7."/>
      <w:lvlJc w:val="left"/>
      <w:pPr>
        <w:tabs>
          <w:tab w:val="num" w:pos="2920"/>
        </w:tabs>
        <w:ind w:left="2920" w:hanging="360"/>
      </w:pPr>
    </w:lvl>
    <w:lvl w:ilvl="7">
      <w:start w:val="1"/>
      <w:numFmt w:val="decimal"/>
      <w:lvlText w:val="%8."/>
      <w:lvlJc w:val="left"/>
      <w:pPr>
        <w:tabs>
          <w:tab w:val="num" w:pos="3280"/>
        </w:tabs>
        <w:ind w:left="3280" w:hanging="360"/>
      </w:pPr>
    </w:lvl>
    <w:lvl w:ilvl="8">
      <w:start w:val="1"/>
      <w:numFmt w:val="decimal"/>
      <w:lvlText w:val="%9."/>
      <w:lvlJc w:val="left"/>
      <w:pPr>
        <w:tabs>
          <w:tab w:val="num" w:pos="3640"/>
        </w:tabs>
        <w:ind w:left="3640" w:hanging="360"/>
      </w:pPr>
    </w:lvl>
  </w:abstractNum>
  <w:abstractNum w:abstractNumId="9">
    <w:lvl w:ilvl="0">
      <w:start w:val="1"/>
      <w:numFmt w:val="bullet"/>
      <w:lvlText w:val=""/>
      <w:lvlJc w:val="left"/>
      <w:pPr>
        <w:tabs>
          <w:tab w:val="num" w:pos="720"/>
        </w:tabs>
        <w:ind w:left="720" w:hanging="360"/>
      </w:pPr>
      <w:rPr>
        <w:rFonts w:ascii="Symbol" w:hAnsi="Symbol" w:cs="Symbol" w:hint="default"/>
        <w:sz w:val="22"/>
        <w:b/>
        <w:szCs w:val="22"/>
        <w:bCs/>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sz w:val="22"/>
        <w:b/>
        <w:szCs w:val="22"/>
        <w:bCs/>
      </w:rPr>
    </w:lvl>
    <w:lvl w:ilvl="1">
      <w:start w:val="1"/>
      <w:numFmt w:val="bullet"/>
      <w:lvlText w:val=""/>
      <w:lvlJc w:val="left"/>
      <w:pPr>
        <w:tabs>
          <w:tab w:val="num" w:pos="1080"/>
        </w:tabs>
        <w:ind w:left="1080" w:hanging="360"/>
      </w:pPr>
      <w:rPr>
        <w:rFonts w:ascii="Symbol" w:hAnsi="Symbol" w:cs="Symbol" w:hint="default"/>
        <w:sz w:val="22"/>
        <w:b/>
        <w:szCs w:val="22"/>
        <w:bCs/>
      </w:rPr>
    </w:lvl>
    <w:lvl w:ilvl="2">
      <w:start w:val="1"/>
      <w:numFmt w:val="bullet"/>
      <w:lvlText w:val=""/>
      <w:lvlJc w:val="left"/>
      <w:pPr>
        <w:tabs>
          <w:tab w:val="num" w:pos="1440"/>
        </w:tabs>
        <w:ind w:left="1440" w:hanging="360"/>
      </w:pPr>
      <w:rPr>
        <w:rFonts w:ascii="Symbol" w:hAnsi="Symbol" w:cs="Symbol" w:hint="default"/>
        <w:sz w:val="22"/>
        <w:b/>
        <w:szCs w:val="22"/>
        <w:bCs/>
      </w:rPr>
    </w:lvl>
    <w:lvl w:ilvl="3">
      <w:start w:val="1"/>
      <w:numFmt w:val="bullet"/>
      <w:lvlText w:val=""/>
      <w:lvlJc w:val="left"/>
      <w:pPr>
        <w:tabs>
          <w:tab w:val="num" w:pos="1800"/>
        </w:tabs>
        <w:ind w:left="1800" w:hanging="360"/>
      </w:pPr>
      <w:rPr>
        <w:rFonts w:ascii="Symbol" w:hAnsi="Symbol" w:cs="Symbol" w:hint="default"/>
        <w:sz w:val="22"/>
        <w:b/>
        <w:szCs w:val="22"/>
        <w:bCs/>
      </w:rPr>
    </w:lvl>
    <w:lvl w:ilvl="4">
      <w:start w:val="1"/>
      <w:numFmt w:val="bullet"/>
      <w:lvlText w:val=""/>
      <w:lvlJc w:val="left"/>
      <w:pPr>
        <w:tabs>
          <w:tab w:val="num" w:pos="2160"/>
        </w:tabs>
        <w:ind w:left="2160" w:hanging="360"/>
      </w:pPr>
      <w:rPr>
        <w:rFonts w:ascii="Symbol" w:hAnsi="Symbol" w:cs="Symbol" w:hint="default"/>
        <w:sz w:val="22"/>
        <w:b/>
        <w:szCs w:val="22"/>
        <w:bCs/>
      </w:rPr>
    </w:lvl>
    <w:lvl w:ilvl="5">
      <w:start w:val="1"/>
      <w:numFmt w:val="bullet"/>
      <w:lvlText w:val=""/>
      <w:lvlJc w:val="left"/>
      <w:pPr>
        <w:tabs>
          <w:tab w:val="num" w:pos="2520"/>
        </w:tabs>
        <w:ind w:left="2520" w:hanging="360"/>
      </w:pPr>
      <w:rPr>
        <w:rFonts w:ascii="Symbol" w:hAnsi="Symbol" w:cs="Symbol" w:hint="default"/>
        <w:sz w:val="22"/>
        <w:b/>
        <w:szCs w:val="22"/>
        <w:bCs/>
      </w:rPr>
    </w:lvl>
    <w:lvl w:ilvl="6">
      <w:start w:val="1"/>
      <w:numFmt w:val="bullet"/>
      <w:lvlText w:val=""/>
      <w:lvlJc w:val="left"/>
      <w:pPr>
        <w:tabs>
          <w:tab w:val="num" w:pos="2880"/>
        </w:tabs>
        <w:ind w:left="2880" w:hanging="360"/>
      </w:pPr>
      <w:rPr>
        <w:rFonts w:ascii="Symbol" w:hAnsi="Symbol" w:cs="Symbol" w:hint="default"/>
        <w:sz w:val="22"/>
        <w:b/>
        <w:szCs w:val="22"/>
        <w:bCs/>
      </w:rPr>
    </w:lvl>
    <w:lvl w:ilvl="7">
      <w:start w:val="1"/>
      <w:numFmt w:val="bullet"/>
      <w:lvlText w:val=""/>
      <w:lvlJc w:val="left"/>
      <w:pPr>
        <w:tabs>
          <w:tab w:val="num" w:pos="3240"/>
        </w:tabs>
        <w:ind w:left="3240" w:hanging="360"/>
      </w:pPr>
      <w:rPr>
        <w:rFonts w:ascii="Symbol" w:hAnsi="Symbol" w:cs="Symbol" w:hint="default"/>
        <w:sz w:val="22"/>
        <w:b/>
        <w:szCs w:val="22"/>
        <w:bCs/>
      </w:rPr>
    </w:lvl>
    <w:lvl w:ilvl="8">
      <w:start w:val="1"/>
      <w:numFmt w:val="bullet"/>
      <w:lvlText w:val=""/>
      <w:lvlJc w:val="left"/>
      <w:pPr>
        <w:tabs>
          <w:tab w:val="num" w:pos="3600"/>
        </w:tabs>
        <w:ind w:left="3600" w:hanging="360"/>
      </w:pPr>
      <w:rPr>
        <w:rFonts w:ascii="Symbol" w:hAnsi="Symbol" w:cs="Symbol" w:hint="default"/>
        <w:sz w:val="22"/>
        <w:b/>
        <w:szCs w:val="22"/>
        <w:bCs/>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8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b770b"/>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paragraph" w:styleId="1">
    <w:name w:val="Heading 1"/>
    <w:basedOn w:val="Normal"/>
    <w:next w:val="Normal"/>
    <w:link w:val="1Char"/>
    <w:uiPriority w:val="9"/>
    <w:qFormat/>
    <w:rsid w:val="007b770b"/>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1"/>
    <w:next w:val="Normal"/>
    <w:qFormat/>
    <w:pPr>
      <w:pageBreakBefore w:val="false"/>
      <w:pBdr>
        <w:bottom w:val="single" w:sz="8" w:space="1" w:color="000080"/>
      </w:pBdr>
      <w:tabs>
        <w:tab w:val="clear" w:pos="720"/>
        <w:tab w:val="left" w:pos="567" w:leader="none"/>
      </w:tabs>
      <w:spacing w:before="240" w:after="80"/>
      <w:ind w:left="567" w:right="0" w:hanging="567"/>
      <w:outlineLvl w:val="1"/>
    </w:pPr>
    <w:rPr>
      <w:bCs w:val="false"/>
      <w:color w:val="002060"/>
      <w:sz w:val="24"/>
      <w:szCs w:val="22"/>
      <w:lang w:val="en-GB"/>
    </w:rPr>
  </w:style>
  <w:style w:type="paragraph" w:styleId="3">
    <w:name w:val="Heading 3"/>
    <w:basedOn w:val="Normal"/>
    <w:next w:val="Normal"/>
    <w:link w:val="3Char"/>
    <w:qFormat/>
    <w:rsid w:val="007b770b"/>
    <w:pPr>
      <w:keepNext w:val="true"/>
      <w:suppressAutoHyphens w:val="true"/>
      <w:spacing w:lineRule="auto" w:line="240" w:before="240" w:after="60"/>
      <w:ind w:left="567" w:hanging="567"/>
      <w:jc w:val="both"/>
      <w:outlineLvl w:val="2"/>
    </w:pPr>
    <w:rPr>
      <w:rFonts w:ascii="Arial" w:hAnsi="Arial" w:eastAsia="Times New Roman" w:cs="Times New Roman"/>
      <w:b/>
      <w:bCs/>
      <w:szCs w:val="26"/>
      <w:lang w:val="en-GB" w:eastAsia="zh-CN"/>
    </w:rPr>
  </w:style>
  <w:style w:type="paragraph" w:styleId="4">
    <w:name w:val="Heading 4"/>
    <w:basedOn w:val="Normal"/>
    <w:next w:val="Normal"/>
    <w:qFormat/>
    <w:pPr>
      <w:keepNext w:val="true"/>
      <w:spacing w:before="240" w:after="60"/>
      <w:ind w:left="0" w:right="0" w:hanging="0"/>
      <w:outlineLvl w:val="3"/>
    </w:pPr>
    <w:rPr>
      <w:rFonts w:ascii="Arial" w:hAnsi="Arial" w:eastAsia="Times New Roman" w:cs="Times New Roman"/>
      <w:b/>
      <w:bCs/>
      <w:szCs w:val="28"/>
    </w:rPr>
  </w:style>
  <w:style w:type="character" w:styleId="DefaultParagraphFont" w:default="1">
    <w:name w:val="Default Paragraph Font"/>
    <w:uiPriority w:val="1"/>
    <w:semiHidden/>
    <w:unhideWhenUsed/>
    <w:qFormat/>
    <w:rPr/>
  </w:style>
  <w:style w:type="character" w:styleId="1Char" w:customStyle="1">
    <w:name w:val="Επικεφαλίδα 1 Char"/>
    <w:basedOn w:val="DefaultParagraphFont"/>
    <w:link w:val="1"/>
    <w:uiPriority w:val="9"/>
    <w:qFormat/>
    <w:rsid w:val="007b770b"/>
    <w:rPr>
      <w:rFonts w:ascii="Cambria" w:hAnsi="Cambria" w:eastAsia="" w:cs="" w:asciiTheme="majorHAnsi" w:cstheme="majorBidi" w:eastAsiaTheme="majorEastAsia" w:hAnsiTheme="majorHAnsi"/>
      <w:b/>
      <w:bCs/>
      <w:color w:val="365F91" w:themeColor="accent1" w:themeShade="bf"/>
      <w:sz w:val="28"/>
      <w:szCs w:val="28"/>
    </w:rPr>
  </w:style>
  <w:style w:type="character" w:styleId="3Char" w:customStyle="1">
    <w:name w:val="Επικεφαλίδα 3 Char"/>
    <w:basedOn w:val="DefaultParagraphFont"/>
    <w:link w:val="3"/>
    <w:qFormat/>
    <w:rsid w:val="007b770b"/>
    <w:rPr>
      <w:rFonts w:ascii="Arial" w:hAnsi="Arial" w:eastAsia="Times New Roman" w:cs="Times New Roman"/>
      <w:b/>
      <w:bCs/>
      <w:szCs w:val="26"/>
      <w:lang w:val="en-GB" w:eastAsia="zh-CN"/>
    </w:rPr>
  </w:style>
  <w:style w:type="character" w:styleId="Fontstyle01" w:customStyle="1">
    <w:name w:val="fontstyle01"/>
    <w:basedOn w:val="DefaultParagraphFont"/>
    <w:qFormat/>
    <w:rsid w:val="007b770b"/>
    <w:rPr>
      <w:rFonts w:ascii="Calibri" w:hAnsi="Calibri" w:cs="Calibri"/>
      <w:b w:val="false"/>
      <w:bCs w:val="false"/>
      <w:i w:val="false"/>
      <w:iCs w:val="false"/>
      <w:color w:val="000000"/>
      <w:sz w:val="20"/>
      <w:szCs w:val="20"/>
    </w:rPr>
  </w:style>
  <w:style w:type="character" w:styleId="Fontstyle21" w:customStyle="1">
    <w:name w:val="fontstyle21"/>
    <w:basedOn w:val="DefaultParagraphFont"/>
    <w:qFormat/>
    <w:rsid w:val="007b770b"/>
    <w:rPr>
      <w:rFonts w:ascii="SymbolMT" w:hAnsi="SymbolMT" w:eastAsia="SymbolMT"/>
      <w:b w:val="false"/>
      <w:bCs w:val="false"/>
      <w:i w:val="false"/>
      <w:iCs w:val="false"/>
      <w:color w:val="000000"/>
      <w:sz w:val="20"/>
      <w:szCs w:val="20"/>
    </w:rPr>
  </w:style>
  <w:style w:type="character" w:styleId="WW8Num1z0" w:customStyle="1">
    <w:name w:val="WW8Num1z0"/>
    <w:qFormat/>
    <w:rsid w:val="007b770b"/>
    <w:rPr/>
  </w:style>
  <w:style w:type="character" w:styleId="Char" w:customStyle="1">
    <w:name w:val="Σώμα κειμένου Char"/>
    <w:basedOn w:val="DefaultParagraphFont"/>
    <w:link w:val="a5"/>
    <w:qFormat/>
    <w:rsid w:val="007b770b"/>
    <w:rPr>
      <w:rFonts w:ascii="Calibri" w:hAnsi="Calibri" w:eastAsia="Times New Roman" w:cs="Times New Roman"/>
      <w:szCs w:val="24"/>
      <w:lang w:val="en-GB" w:eastAsia="zh-CN"/>
    </w:rPr>
  </w:style>
  <w:style w:type="character" w:styleId="Char1" w:customStyle="1">
    <w:name w:val="Κεφαλίδα Char"/>
    <w:basedOn w:val="DefaultParagraphFont"/>
    <w:link w:val="a6"/>
    <w:uiPriority w:val="99"/>
    <w:qFormat/>
    <w:rsid w:val="007b770b"/>
    <w:rPr/>
  </w:style>
  <w:style w:type="character" w:styleId="Char2" w:customStyle="1">
    <w:name w:val="Υποσέλιδο Char"/>
    <w:basedOn w:val="DefaultParagraphFont"/>
    <w:link w:val="a7"/>
    <w:uiPriority w:val="99"/>
    <w:qFormat/>
    <w:rsid w:val="007b770b"/>
    <w:rPr/>
  </w:style>
  <w:style w:type="character" w:styleId="Style10" w:customStyle="1">
    <w:name w:val="Σώμα κειμένου_"/>
    <w:basedOn w:val="DefaultParagraphFont"/>
    <w:link w:val="2"/>
    <w:qFormat/>
    <w:rsid w:val="007b770b"/>
    <w:rPr>
      <w:rFonts w:ascii="Arial" w:hAnsi="Arial" w:eastAsia="Arial" w:cs="Arial"/>
      <w:sz w:val="21"/>
      <w:szCs w:val="21"/>
      <w:shd w:fill="FFFFFF" w:val="clear"/>
    </w:rPr>
  </w:style>
  <w:style w:type="character" w:styleId="11" w:customStyle="1">
    <w:name w:val="Σώμα κειμένου1"/>
    <w:basedOn w:val="Style10"/>
    <w:qFormat/>
    <w:rsid w:val="007b770b"/>
    <w:rPr>
      <w:rFonts w:ascii="Arial" w:hAnsi="Arial" w:eastAsia="Arial" w:cs="Arial"/>
      <w:color w:val="000000"/>
      <w:spacing w:val="0"/>
      <w:w w:val="100"/>
      <w:sz w:val="21"/>
      <w:szCs w:val="21"/>
      <w:u w:val="single"/>
      <w:shd w:fill="FFFFFF" w:val="clear"/>
      <w:lang w:val="el-GR"/>
    </w:rPr>
  </w:style>
  <w:style w:type="character" w:styleId="Char3" w:customStyle="1">
    <w:name w:val="Απλό κείμενο Char"/>
    <w:basedOn w:val="DefaultParagraphFont"/>
    <w:link w:val="a9"/>
    <w:uiPriority w:val="99"/>
    <w:qFormat/>
    <w:rsid w:val="007b770b"/>
    <w:rPr>
      <w:rFonts w:ascii="Consolas" w:hAnsi="Consolas" w:eastAsia="Times New Roman" w:cs="Times New Roman"/>
      <w:sz w:val="21"/>
      <w:szCs w:val="21"/>
      <w:lang w:eastAsia="el-GR"/>
    </w:rPr>
  </w:style>
  <w:style w:type="character" w:styleId="Char4" w:customStyle="1">
    <w:name w:val="Κείμενο πλαισίου Char"/>
    <w:basedOn w:val="DefaultParagraphFont"/>
    <w:link w:val="aa"/>
    <w:uiPriority w:val="99"/>
    <w:semiHidden/>
    <w:qFormat/>
    <w:rsid w:val="007b770b"/>
    <w:rPr>
      <w:rFonts w:ascii="Tahoma" w:hAnsi="Tahoma" w:cs="Tahoma"/>
      <w:sz w:val="16"/>
      <w:szCs w:val="16"/>
    </w:rPr>
  </w:style>
  <w:style w:type="character" w:styleId="St" w:customStyle="1">
    <w:name w:val="st"/>
    <w:basedOn w:val="DefaultParagraphFont"/>
    <w:qFormat/>
    <w:rsid w:val="0079464a"/>
    <w:rPr/>
  </w:style>
  <w:style w:type="character" w:styleId="Style11" w:customStyle="1">
    <w:name w:val="Σύμβολο υποσημείωσης"/>
    <w:qFormat/>
    <w:rsid w:val="00af15ef"/>
    <w:rPr>
      <w:vertAlign w:val="superscript"/>
    </w:rPr>
  </w:style>
  <w:style w:type="character" w:styleId="WWFootnoteReference9" w:customStyle="1">
    <w:name w:val="WW-Footnote Reference9"/>
    <w:qFormat/>
    <w:rsid w:val="00a76dd0"/>
    <w:rPr>
      <w:vertAlign w:val="superscript"/>
    </w:rPr>
  </w:style>
  <w:style w:type="character" w:styleId="WWFootnoteReference12" w:customStyle="1">
    <w:name w:val="WW-Footnote Reference12"/>
    <w:qFormat/>
    <w:rsid w:val="007b262a"/>
    <w:rPr>
      <w:vertAlign w:val="superscript"/>
    </w:rPr>
  </w:style>
  <w:style w:type="character" w:styleId="WWFootnoteReference17" w:customStyle="1">
    <w:name w:val="WW-Footnote Reference17"/>
    <w:qFormat/>
    <w:rsid w:val="007b262a"/>
    <w:rPr>
      <w:vertAlign w:val="superscript"/>
    </w:rPr>
  </w:style>
  <w:style w:type="character" w:styleId="Style12">
    <w:name w:val="Σύνδεσμος διαδικτύου"/>
    <w:rPr>
      <w:color w:val="000080"/>
      <w:u w:val="single"/>
      <w:lang w:val="zxx" w:eastAsia="zxx" w:bidi="zxx"/>
    </w:rPr>
  </w:style>
  <w:style w:type="character" w:styleId="WW8Num3z0">
    <w:name w:val="WW8Num3z0"/>
    <w:qFormat/>
    <w:rPr>
      <w:rFonts w:ascii="Symbol" w:hAnsi="Symbol" w:cs="OpenSymbol;Arial Unicode MS"/>
    </w:rPr>
  </w:style>
  <w:style w:type="character" w:styleId="WW8Num3z1">
    <w:name w:val="WW8Num3z1"/>
    <w:qFormat/>
    <w:rPr>
      <w:rFonts w:ascii="OpenSymbol;Arial Unicode MS" w:hAnsi="OpenSymbol;Arial Unicode MS" w:cs="OpenSymbol;Arial Unicode MS"/>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Arial"/>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yle13">
    <w:name w:val="Παραπομπή υποσημείωσης"/>
    <w:qFormat/>
    <w:rPr>
      <w:vertAlign w:val="superscript"/>
    </w:rPr>
  </w:style>
  <w:style w:type="character" w:styleId="Style14">
    <w:name w:val="Χαρακτήρες υποσημείωσης"/>
    <w:qFormat/>
    <w:rPr/>
  </w:style>
  <w:style w:type="character" w:styleId="Style15">
    <w:name w:val="Αγκίστρωση υποσημείωσης"/>
    <w:rPr>
      <w:vertAlign w:val="superscript"/>
    </w:rPr>
  </w:style>
  <w:style w:type="character" w:styleId="Style16">
    <w:name w:val="Χαρακτήρες αρίθμησης"/>
    <w:qFormat/>
    <w:rPr>
      <w:b w:val="false"/>
      <w:bCs w:val="false"/>
      <w:sz w:val="24"/>
      <w:szCs w:val="24"/>
    </w:rPr>
  </w:style>
  <w:style w:type="character" w:styleId="Style17">
    <w:name w:val="Κουκκίδες"/>
    <w:qFormat/>
    <w:rPr>
      <w:rFonts w:ascii="Calibri" w:hAnsi="Calibri" w:eastAsia="OpenSymbol" w:cs="OpenSymbol"/>
      <w:b/>
      <w:bCs/>
      <w:sz w:val="22"/>
      <w:szCs w:val="22"/>
    </w:rPr>
  </w:style>
  <w:style w:type="character" w:styleId="Bodytext2">
    <w:name w:val="Body text (2)_"/>
    <w:basedOn w:val="DefaultParagraphFont"/>
    <w:qFormat/>
    <w:rPr>
      <w:rFonts w:ascii="Arial" w:hAnsi="Arial" w:cs="Arial"/>
      <w:b w:val="false"/>
      <w:i/>
      <w:caps w:val="false"/>
      <w:smallCaps w:val="false"/>
      <w:strike w:val="false"/>
      <w:dstrike w:val="false"/>
      <w:sz w:val="15"/>
      <w:u w:val="none"/>
    </w:rPr>
  </w:style>
  <w:style w:type="character" w:styleId="Bodytext21">
    <w:name w:val="Body text (2)"/>
    <w:basedOn w:val="Bodytext2"/>
    <w:qFormat/>
    <w:rPr>
      <w:rFonts w:ascii="Arial" w:hAnsi="Arial" w:cs="Arial"/>
      <w:b w:val="false"/>
      <w:i/>
      <w:caps w:val="false"/>
      <w:smallCaps w:val="false"/>
      <w:strike w:val="false"/>
      <w:dstrike w:val="false"/>
      <w:sz w:val="15"/>
      <w:u w:val="single"/>
    </w:rPr>
  </w:style>
  <w:style w:type="character" w:styleId="Heading1">
    <w:name w:val="Heading #1_"/>
    <w:basedOn w:val="DefaultParagraphFont"/>
    <w:qFormat/>
    <w:rPr>
      <w:rFonts w:ascii="Arial" w:hAnsi="Arial" w:cs="Arial"/>
      <w:b w:val="false"/>
      <w:i w:val="false"/>
      <w:caps w:val="false"/>
      <w:smallCaps w:val="false"/>
      <w:strike w:val="false"/>
      <w:dstrike w:val="false"/>
      <w:sz w:val="15"/>
      <w:u w:val="none"/>
    </w:rPr>
  </w:style>
  <w:style w:type="character" w:styleId="Heading11">
    <w:name w:val="Heading #1"/>
    <w:basedOn w:val="Heading1"/>
    <w:qFormat/>
    <w:rPr>
      <w:rFonts w:ascii="Arial" w:hAnsi="Arial" w:cs="Arial"/>
      <w:b w:val="false"/>
      <w:i w:val="false"/>
      <w:caps w:val="false"/>
      <w:smallCaps w:val="false"/>
      <w:strike w:val="false"/>
      <w:dstrike w:val="false"/>
      <w:sz w:val="15"/>
      <w:u w:val="none"/>
    </w:rPr>
  </w:style>
  <w:style w:type="character" w:styleId="Bodytext">
    <w:name w:val="Body text_"/>
    <w:basedOn w:val="DefaultParagraphFont"/>
    <w:qFormat/>
    <w:rPr>
      <w:rFonts w:ascii="Arial" w:hAnsi="Arial" w:cs="Arial"/>
      <w:b w:val="false"/>
      <w:i w:val="false"/>
      <w:caps w:val="false"/>
      <w:smallCaps w:val="false"/>
      <w:strike w:val="false"/>
      <w:dstrike w:val="false"/>
      <w:sz w:val="15"/>
      <w:u w:val="none"/>
    </w:rPr>
  </w:style>
  <w:style w:type="character" w:styleId="Bodytext1">
    <w:name w:val="Body text"/>
    <w:basedOn w:val="Bodytext"/>
    <w:qFormat/>
    <w:rPr>
      <w:rFonts w:ascii="Arial" w:hAnsi="Arial" w:cs="Arial"/>
      <w:b w:val="false"/>
      <w:i w:val="false"/>
      <w:caps w:val="false"/>
      <w:smallCaps w:val="false"/>
      <w:strike w:val="false"/>
      <w:dstrike w:val="false"/>
      <w:sz w:val="15"/>
      <w:u w:val="none"/>
    </w:rPr>
  </w:style>
  <w:style w:type="character" w:styleId="WW8Num10z0">
    <w:name w:val="WW8Num10z0"/>
    <w:qFormat/>
    <w:rPr/>
  </w:style>
  <w:style w:type="character" w:styleId="WW8Num10z1">
    <w:name w:val="WW8Num10z1"/>
    <w:qFormat/>
    <w:rPr>
      <w:rFonts w:ascii="OpenSymbol;Arial Unicode MS" w:hAnsi="OpenSymbol;Arial Unicode MS" w:cs="OpenSymbol;Arial Unicode MS"/>
    </w:rPr>
  </w:style>
  <w:style w:type="character" w:styleId="WW8Num10z3">
    <w:name w:val="WW8Num10z3"/>
    <w:qFormat/>
    <w:rPr>
      <w:rFonts w:ascii="Symbol" w:hAnsi="Symbol" w:cs="OpenSymbol;Arial Unicode MS"/>
    </w:rPr>
  </w:style>
  <w:style w:type="character" w:styleId="WW8Num9z0">
    <w:name w:val="WW8Num9z0"/>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FootnoteReference18">
    <w:name w:val="WW-Footnote Reference18"/>
    <w:qFormat/>
    <w:rPr>
      <w:vertAlign w:val="superscript"/>
    </w:rPr>
  </w:style>
  <w:style w:type="character" w:styleId="Markedcontent">
    <w:name w:val="markedcontent"/>
    <w:qFormat/>
    <w:rPr/>
  </w:style>
  <w:style w:type="paragraph" w:styleId="Style18">
    <w:name w:val="Επικεφαλίδα"/>
    <w:basedOn w:val="Normal"/>
    <w:next w:val="Style19"/>
    <w:qFormat/>
    <w:pPr>
      <w:keepNext w:val="true"/>
      <w:spacing w:before="240" w:after="120"/>
    </w:pPr>
    <w:rPr>
      <w:rFonts w:ascii="Liberation Sans" w:hAnsi="Liberation Sans" w:eastAsia="Microsoft YaHei" w:cs="Lucida Sans"/>
      <w:sz w:val="28"/>
      <w:szCs w:val="28"/>
    </w:rPr>
  </w:style>
  <w:style w:type="paragraph" w:styleId="Style19">
    <w:name w:val="Body Text"/>
    <w:basedOn w:val="Normal"/>
    <w:link w:val="Char"/>
    <w:rsid w:val="007b770b"/>
    <w:pPr>
      <w:suppressAutoHyphens w:val="true"/>
      <w:spacing w:lineRule="auto" w:line="240" w:before="0" w:after="240"/>
      <w:jc w:val="both"/>
    </w:pPr>
    <w:rPr>
      <w:rFonts w:ascii="Calibri" w:hAnsi="Calibri" w:eastAsia="Times New Roman" w:cs="Times New Roman"/>
      <w:szCs w:val="24"/>
      <w:lang w:val="en-GB" w:eastAsia="zh-CN"/>
    </w:rPr>
  </w:style>
  <w:style w:type="paragraph" w:styleId="Style20">
    <w:name w:val="List"/>
    <w:basedOn w:val="Style19"/>
    <w:pPr/>
    <w:rPr>
      <w:rFonts w:cs="Lucida Sans"/>
    </w:rPr>
  </w:style>
  <w:style w:type="paragraph" w:styleId="Style21">
    <w:name w:val="Caption"/>
    <w:basedOn w:val="Normal"/>
    <w:qFormat/>
    <w:pPr>
      <w:suppressLineNumbers/>
      <w:spacing w:before="120" w:after="120"/>
    </w:pPr>
    <w:rPr>
      <w:rFonts w:cs="Lucida Sans"/>
      <w:i/>
      <w:iCs/>
      <w:sz w:val="24"/>
      <w:szCs w:val="24"/>
    </w:rPr>
  </w:style>
  <w:style w:type="paragraph" w:styleId="Style22">
    <w:name w:val="Ευρετήριο"/>
    <w:basedOn w:val="Normal"/>
    <w:qFormat/>
    <w:pPr>
      <w:suppressLineNumbers/>
    </w:pPr>
    <w:rPr>
      <w:rFonts w:cs="Lucida Sans"/>
    </w:rPr>
  </w:style>
  <w:style w:type="paragraph" w:styleId="Default" w:customStyle="1">
    <w:name w:val="Default"/>
    <w:qFormat/>
    <w:rsid w:val="007b770b"/>
    <w:pPr>
      <w:widowControl/>
      <w:suppressAutoHyphens w:val="true"/>
      <w:bidi w:val="0"/>
      <w:spacing w:lineRule="auto" w:line="240"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uiPriority w:val="34"/>
    <w:qFormat/>
    <w:rsid w:val="007b770b"/>
    <w:pPr>
      <w:spacing w:lineRule="auto" w:line="240" w:before="0" w:after="0"/>
      <w:ind w:left="720" w:hanging="0"/>
      <w:contextualSpacing/>
    </w:pPr>
    <w:rPr>
      <w:rFonts w:ascii="Times New Roman" w:hAnsi="Times New Roman" w:eastAsia="Times New Roman" w:cs="Times New Roman"/>
      <w:sz w:val="24"/>
      <w:szCs w:val="24"/>
      <w:lang w:eastAsia="el-GR"/>
    </w:rPr>
  </w:style>
  <w:style w:type="paragraph" w:styleId="Style23">
    <w:name w:val="Κεφαλίδα και υποσέλιδο"/>
    <w:basedOn w:val="Normal"/>
    <w:qFormat/>
    <w:pPr/>
    <w:rPr/>
  </w:style>
  <w:style w:type="paragraph" w:styleId="Style24">
    <w:name w:val="Header"/>
    <w:basedOn w:val="Normal"/>
    <w:link w:val="Char0"/>
    <w:uiPriority w:val="99"/>
    <w:unhideWhenUsed/>
    <w:rsid w:val="007b770b"/>
    <w:pPr>
      <w:tabs>
        <w:tab w:val="clear" w:pos="720"/>
        <w:tab w:val="center" w:pos="4153" w:leader="none"/>
        <w:tab w:val="right" w:pos="8306" w:leader="none"/>
      </w:tabs>
      <w:spacing w:lineRule="auto" w:line="240" w:before="0" w:after="0"/>
    </w:pPr>
    <w:rPr/>
  </w:style>
  <w:style w:type="paragraph" w:styleId="Style25">
    <w:name w:val="Footer"/>
    <w:basedOn w:val="Normal"/>
    <w:link w:val="Char1"/>
    <w:uiPriority w:val="99"/>
    <w:unhideWhenUsed/>
    <w:rsid w:val="007b770b"/>
    <w:pPr>
      <w:tabs>
        <w:tab w:val="clear" w:pos="720"/>
        <w:tab w:val="center" w:pos="4153" w:leader="none"/>
        <w:tab w:val="right" w:pos="8306" w:leader="none"/>
      </w:tabs>
      <w:spacing w:lineRule="auto" w:line="240" w:before="0" w:after="0"/>
    </w:pPr>
    <w:rPr/>
  </w:style>
  <w:style w:type="paragraph" w:styleId="21" w:customStyle="1">
    <w:name w:val="Σώμα κειμένου2"/>
    <w:basedOn w:val="Normal"/>
    <w:link w:val="a8"/>
    <w:qFormat/>
    <w:rsid w:val="007b770b"/>
    <w:pPr>
      <w:widowControl w:val="false"/>
      <w:shd w:val="clear" w:color="auto" w:fill="FFFFFF"/>
      <w:spacing w:lineRule="exact" w:line="252" w:before="0" w:after="0"/>
      <w:jc w:val="right"/>
    </w:pPr>
    <w:rPr>
      <w:rFonts w:ascii="Arial" w:hAnsi="Arial" w:eastAsia="Arial" w:cs="Arial"/>
      <w:sz w:val="21"/>
      <w:szCs w:val="21"/>
    </w:rPr>
  </w:style>
  <w:style w:type="paragraph" w:styleId="PlainText">
    <w:name w:val="Plain Text"/>
    <w:basedOn w:val="Normal"/>
    <w:link w:val="Char2"/>
    <w:uiPriority w:val="99"/>
    <w:unhideWhenUsed/>
    <w:qFormat/>
    <w:rsid w:val="007b770b"/>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link w:val="Char3"/>
    <w:uiPriority w:val="99"/>
    <w:semiHidden/>
    <w:unhideWhenUsed/>
    <w:qFormat/>
    <w:rsid w:val="007b770b"/>
    <w:pPr>
      <w:spacing w:lineRule="auto" w:line="240" w:before="0" w:after="0"/>
    </w:pPr>
    <w:rPr>
      <w:rFonts w:ascii="Tahoma" w:hAnsi="Tahoma" w:cs="Tahoma"/>
      <w:sz w:val="16"/>
      <w:szCs w:val="16"/>
    </w:rPr>
  </w:style>
  <w:style w:type="paragraph" w:styleId="Normalwithoutspacing" w:customStyle="1">
    <w:name w:val="normal_without_spacing"/>
    <w:basedOn w:val="Normal"/>
    <w:qFormat/>
    <w:rsid w:val="007a0e2c"/>
    <w:pPr>
      <w:suppressAutoHyphens w:val="true"/>
      <w:spacing w:lineRule="auto" w:line="240" w:before="0" w:after="60"/>
      <w:jc w:val="both"/>
    </w:pPr>
    <w:rPr>
      <w:rFonts w:ascii="Calibri" w:hAnsi="Calibri" w:eastAsia="Times New Roman" w:cs="Calibri"/>
      <w:szCs w:val="24"/>
      <w:lang w:eastAsia="zh-CN"/>
    </w:rPr>
  </w:style>
  <w:style w:type="paragraph" w:styleId="12" w:customStyle="1">
    <w:name w:val="Παράγραφος λίστας1"/>
    <w:basedOn w:val="Normal"/>
    <w:qFormat/>
    <w:rsid w:val="00af15ef"/>
    <w:pPr>
      <w:suppressAutoHyphens w:val="true"/>
      <w:spacing w:lineRule="auto" w:line="240" w:before="0" w:after="0"/>
      <w:ind w:left="720" w:hanging="0"/>
    </w:pPr>
    <w:rPr>
      <w:rFonts w:ascii="Liberation Serif" w:hAnsi="Liberation Serif" w:eastAsia="NSimSun" w:cs="Arial"/>
      <w:kern w:val="2"/>
      <w:sz w:val="24"/>
      <w:szCs w:val="24"/>
      <w:lang w:eastAsia="zh-CN" w:bidi="hi-IN"/>
    </w:rPr>
  </w:style>
  <w:style w:type="paragraph" w:styleId="Style26">
    <w:name w:val="Περιεχόμενα πίνακα"/>
    <w:basedOn w:val="Normal"/>
    <w:qFormat/>
    <w:pPr>
      <w:widowControl w:val="false"/>
      <w:suppressLineNumbers/>
    </w:pPr>
    <w:rPr/>
  </w:style>
  <w:style w:type="paragraph" w:styleId="Style27">
    <w:name w:val="Επικεφαλίδα πίνακα"/>
    <w:basedOn w:val="Style26"/>
    <w:qFormat/>
    <w:pPr>
      <w:suppressLineNumbers/>
      <w:jc w:val="center"/>
    </w:pPr>
    <w:rPr>
      <w:b/>
      <w:bCs/>
    </w:rPr>
  </w:style>
  <w:style w:type="paragraph" w:styleId="Standard">
    <w:name w:val="Standard"/>
    <w:qFormat/>
    <w:pPr>
      <w:widowControl w:val="false"/>
      <w:suppressAutoHyphens w:val="true"/>
      <w:bidi w:val="0"/>
      <w:spacing w:before="0" w:after="0"/>
      <w:jc w:val="left"/>
      <w:textAlignment w:val="baseline"/>
    </w:pPr>
    <w:rPr>
      <w:rFonts w:ascii="Liberation Serif;Times New Roman" w:hAnsi="Liberation Serif;Times New Roman" w:eastAsia="Segoe UI" w:cs="Tahoma"/>
      <w:color w:val="000000"/>
      <w:kern w:val="2"/>
      <w:sz w:val="24"/>
      <w:szCs w:val="24"/>
      <w:lang w:val="el-GR" w:eastAsia="zh-CN" w:bidi="hi-IN"/>
    </w:rPr>
  </w:style>
  <w:style w:type="paragraph" w:styleId="Style28">
    <w:name w:val="Παράγραφος λίστας"/>
    <w:basedOn w:val="Normal"/>
    <w:qFormat/>
    <w:pPr>
      <w:spacing w:before="0" w:after="0"/>
      <w:ind w:left="720" w:right="0" w:hanging="0"/>
      <w:contextualSpacing/>
    </w:pPr>
    <w:rPr>
      <w:rFonts w:cs="Mangal;Liberation Mono"/>
      <w:szCs w:val="21"/>
    </w:rPr>
  </w:style>
  <w:style w:type="paragraph" w:styleId="Style29">
    <w:name w:val="Footnote Text"/>
    <w:basedOn w:val="Normal"/>
    <w:pPr>
      <w:suppressLineNumbers/>
      <w:ind w:left="340" w:hanging="340"/>
    </w:pPr>
    <w:rPr>
      <w:sz w:val="20"/>
      <w:szCs w:val="20"/>
    </w:rPr>
  </w:style>
  <w:style w:type="paragraph" w:styleId="Bodytext3">
    <w:name w:val="Body text"/>
    <w:basedOn w:val="Normal"/>
    <w:qFormat/>
    <w:pPr>
      <w:shd w:val="clear" w:fill="FFFFFF"/>
      <w:spacing w:lineRule="exact" w:line="312" w:before="0" w:after="240"/>
      <w:ind w:left="0" w:right="0" w:hanging="360"/>
    </w:pPr>
    <w:rPr>
      <w:rFonts w:ascii="Arial" w:hAnsi="Arial" w:cs="Arial"/>
      <w:b w:val="false"/>
      <w:i w:val="false"/>
      <w:caps w:val="false"/>
      <w:smallCaps w:val="false"/>
      <w:strike w:val="false"/>
      <w:dstrike w:val="false"/>
      <w:sz w:val="15"/>
      <w:u w:val="none"/>
    </w:rPr>
  </w:style>
  <w:style w:type="paragraph" w:styleId="Heading12">
    <w:name w:val="Heading #1"/>
    <w:basedOn w:val="Normal"/>
    <w:qFormat/>
    <w:pPr>
      <w:shd w:val="clear" w:fill="FFFFFF"/>
      <w:spacing w:lineRule="exact" w:line="312" w:before="60" w:after="0"/>
      <w:ind w:left="0" w:right="0" w:hanging="360"/>
    </w:pPr>
    <w:rPr>
      <w:rFonts w:ascii="Arial" w:hAnsi="Arial" w:cs="Arial"/>
      <w:b w:val="false"/>
      <w:i w:val="false"/>
      <w:caps w:val="false"/>
      <w:smallCaps w:val="false"/>
      <w:strike w:val="false"/>
      <w:dstrike w:val="false"/>
      <w:sz w:val="15"/>
      <w:u w:val="none"/>
    </w:rPr>
  </w:style>
  <w:style w:type="paragraph" w:styleId="NoSpacing">
    <w:name w:val="No Spacing"/>
    <w:qFormat/>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numbering" w:styleId="NoList" w:default="1">
    <w:name w:val="No List"/>
    <w:uiPriority w:val="99"/>
    <w:semiHidden/>
    <w:unhideWhenUsed/>
    <w:qFormat/>
  </w:style>
  <w:style w:type="numbering" w:styleId="WW8Num3">
    <w:name w:val="WW8Num3"/>
    <w:qFormat/>
  </w:style>
  <w:style w:type="numbering" w:styleId="WW8Num1">
    <w:name w:val="WW8Num1"/>
    <w:qFormat/>
  </w:style>
  <w:style w:type="numbering" w:styleId="WW8Num2">
    <w:name w:val="WW8Num2"/>
    <w:qFormat/>
  </w:style>
  <w:style w:type="numbering" w:styleId="WW8Num10">
    <w:name w:val="WW8Num10"/>
    <w:qFormat/>
  </w:style>
  <w:style w:type="numbering" w:styleId="WW8Num9">
    <w:name w:val="WW8Num9"/>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4">
    <w:name w:val="Table Grid"/>
    <w:basedOn w:val="a1"/>
    <w:uiPriority w:val="59"/>
    <w:rsid w:val="007b770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mailto:tsamourtzis@hospser.gr" TargetMode="External"/><Relationship Id="rId5" Type="http://schemas.openxmlformats.org/officeDocument/2006/relationships/hyperlink" Target="http://www.hospser.g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1866</TotalTime>
  <Application>LibreOffice/7.2.5.2$Windows_X86_64 LibreOffice_project/499f9727c189e6ef3471021d6132d4c694f357e5</Application>
  <AppVersion>15.0000</AppVersion>
  <Pages>28</Pages>
  <Words>10698</Words>
  <Characters>64052</Characters>
  <CharactersWithSpaces>74724</CharactersWithSpaces>
  <Paragraphs>705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2022-07-26T10:53:00Z</dcterms:created>
  <dc:creator>Bill</dc:creator>
  <dc:description/>
  <dc:language>el-GR</dc:language>
  <cp:lastModifiedBy/>
  <dcterms:modified xsi:type="dcterms:W3CDTF">2023-02-08T11:52:34Z</dcterms:modified>
  <cp:revision>195</cp:revision>
  <dc:subject/>
  <dc:title>Α Π Ο Σ Π Α Σ Μ Α   Π Ρ Α Κ Τ Ι Κ Ω Ν</dc:title>
</cp:coreProperties>
</file>

<file path=docProps/custom.xml><?xml version="1.0" encoding="utf-8"?>
<Properties xmlns="http://schemas.openxmlformats.org/officeDocument/2006/custom-properties" xmlns:vt="http://schemas.openxmlformats.org/officeDocument/2006/docPropsVTypes"/>
</file>